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CCE12" w14:textId="662DC8AD" w:rsidR="004D3623" w:rsidRPr="004D3623" w:rsidRDefault="004D3623" w:rsidP="004D3623">
      <w:pPr>
        <w:jc w:val="right"/>
        <w:rPr>
          <w:b/>
          <w:sz w:val="24"/>
          <w:szCs w:val="24"/>
        </w:rPr>
      </w:pPr>
      <w:r w:rsidRPr="004D3623">
        <w:rPr>
          <w:rFonts w:ascii="Times New Roman" w:hAnsi="Times New Roman"/>
          <w:noProof/>
          <w:sz w:val="24"/>
          <w:szCs w:val="24"/>
          <w:lang w:eastAsia="en-GB"/>
        </w:rPr>
        <w:drawing>
          <wp:anchor distT="0" distB="0" distL="114300" distR="114300" simplePos="0" relativeHeight="251664384" behindDoc="1" locked="0" layoutInCell="1" allowOverlap="1" wp14:anchorId="34EF7F44" wp14:editId="1BC14948">
            <wp:simplePos x="0" y="0"/>
            <wp:positionH relativeFrom="margin">
              <wp:posOffset>4575810</wp:posOffset>
            </wp:positionH>
            <wp:positionV relativeFrom="paragraph">
              <wp:posOffset>188595</wp:posOffset>
            </wp:positionV>
            <wp:extent cx="1540510" cy="882015"/>
            <wp:effectExtent l="0" t="0" r="2540" b="0"/>
            <wp:wrapThrough wrapText="bothSides">
              <wp:wrapPolygon edited="0">
                <wp:start x="0" y="0"/>
                <wp:lineTo x="0" y="20994"/>
                <wp:lineTo x="21369" y="20994"/>
                <wp:lineTo x="21369" y="0"/>
                <wp:lineTo x="0"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51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623">
        <w:rPr>
          <w:b/>
          <w:sz w:val="24"/>
          <w:szCs w:val="24"/>
        </w:rPr>
        <w:t>Appendix 1</w:t>
      </w:r>
    </w:p>
    <w:p w14:paraId="7230D6F1" w14:textId="66EE7C92" w:rsidR="00B51300" w:rsidRDefault="00B51300">
      <w:r>
        <w:rPr>
          <w:noProof/>
          <w:lang w:eastAsia="en-GB"/>
        </w:rPr>
        <w:drawing>
          <wp:anchor distT="0" distB="0" distL="114300" distR="114300" simplePos="0" relativeHeight="251662336" behindDoc="0" locked="0" layoutInCell="1" allowOverlap="1" wp14:anchorId="7C8864AB" wp14:editId="178AF9B9">
            <wp:simplePos x="0" y="0"/>
            <wp:positionH relativeFrom="margin">
              <wp:posOffset>0</wp:posOffset>
            </wp:positionH>
            <wp:positionV relativeFrom="paragraph">
              <wp:posOffset>-635</wp:posOffset>
            </wp:positionV>
            <wp:extent cx="2834873" cy="755650"/>
            <wp:effectExtent l="0" t="0" r="3810" b="6350"/>
            <wp:wrapNone/>
            <wp:docPr id="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9" cstate="print">
                      <a:extLst>
                        <a:ext uri="{28A0092B-C50C-407E-A947-70E740481C1C}">
                          <a14:useLocalDpi xmlns:a14="http://schemas.microsoft.com/office/drawing/2010/main" val="0"/>
                        </a:ext>
                      </a:extLst>
                    </a:blip>
                    <a:srcRect l="16272" t="27062" r="19531" b="38789"/>
                    <a:stretch/>
                  </pic:blipFill>
                  <pic:spPr bwMode="auto">
                    <a:xfrm>
                      <a:off x="0" y="0"/>
                      <a:ext cx="2834873" cy="75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B2E08C" w14:textId="77777777" w:rsidR="00B51300" w:rsidRDefault="00B51300"/>
    <w:p w14:paraId="275D4496" w14:textId="77777777" w:rsidR="00B51300" w:rsidRDefault="00B51300"/>
    <w:p w14:paraId="401CED48" w14:textId="77777777" w:rsidR="003D2A4A" w:rsidRDefault="003D2A4A" w:rsidP="003D2A4A">
      <w:pPr>
        <w:spacing w:after="0"/>
        <w:jc w:val="both"/>
        <w:rPr>
          <w:rFonts w:cs="Arial"/>
          <w:b/>
          <w:color w:val="000000"/>
          <w:sz w:val="36"/>
          <w:szCs w:val="36"/>
        </w:rPr>
      </w:pPr>
    </w:p>
    <w:p w14:paraId="7AE68614" w14:textId="6986A391" w:rsidR="003D2A4A" w:rsidRPr="00EF78A1" w:rsidRDefault="00A132B3" w:rsidP="004D3623">
      <w:pPr>
        <w:spacing w:after="240"/>
        <w:jc w:val="center"/>
        <w:rPr>
          <w:rFonts w:cs="Arial"/>
          <w:b/>
          <w:color w:val="000000"/>
          <w:sz w:val="36"/>
          <w:szCs w:val="36"/>
        </w:rPr>
      </w:pPr>
      <w:r>
        <w:rPr>
          <w:rFonts w:cs="Arial"/>
          <w:b/>
          <w:color w:val="000000"/>
          <w:sz w:val="36"/>
          <w:szCs w:val="36"/>
        </w:rPr>
        <w:t xml:space="preserve">Stirling Council </w:t>
      </w:r>
      <w:r w:rsidR="003D2A4A">
        <w:rPr>
          <w:rFonts w:cs="Arial"/>
          <w:b/>
          <w:color w:val="000000"/>
          <w:sz w:val="36"/>
          <w:szCs w:val="36"/>
        </w:rPr>
        <w:t>Internal Audit</w:t>
      </w:r>
      <w:r w:rsidR="004D3623">
        <w:rPr>
          <w:rFonts w:cs="Arial"/>
          <w:b/>
          <w:color w:val="000000"/>
          <w:sz w:val="36"/>
          <w:szCs w:val="36"/>
        </w:rPr>
        <w:t xml:space="preserve">: </w:t>
      </w:r>
      <w:r w:rsidR="003D2A4A" w:rsidRPr="00EF78A1">
        <w:rPr>
          <w:rFonts w:cs="Arial"/>
          <w:b/>
          <w:color w:val="000000"/>
          <w:sz w:val="36"/>
          <w:szCs w:val="36"/>
        </w:rPr>
        <w:t>Assignment Brief</w:t>
      </w:r>
    </w:p>
    <w:p w14:paraId="7AB29AF5" w14:textId="77777777" w:rsidR="003D2A4A" w:rsidRDefault="003D2A4A" w:rsidP="003D2A4A">
      <w:pPr>
        <w:spacing w:after="0"/>
        <w:jc w:val="center"/>
        <w:rPr>
          <w:rFonts w:eastAsia="Verdana"/>
          <w:b/>
          <w:color w:val="000000" w:themeColor="text1"/>
          <w:sz w:val="36"/>
          <w:szCs w:val="36"/>
        </w:rPr>
      </w:pPr>
      <w:r w:rsidRPr="00B51300">
        <w:rPr>
          <w:rFonts w:eastAsia="Verdana"/>
          <w:b/>
          <w:color w:val="000000" w:themeColor="text1"/>
          <w:sz w:val="36"/>
          <w:szCs w:val="36"/>
        </w:rPr>
        <w:t>City Region Deal</w:t>
      </w:r>
      <w:r>
        <w:rPr>
          <w:rFonts w:eastAsia="Verdana"/>
          <w:b/>
          <w:color w:val="000000" w:themeColor="text1"/>
          <w:sz w:val="36"/>
          <w:szCs w:val="36"/>
        </w:rPr>
        <w:t xml:space="preserve"> Review</w:t>
      </w:r>
    </w:p>
    <w:p w14:paraId="30EF9E6B" w14:textId="77777777" w:rsidR="003D2A4A" w:rsidRDefault="003D2A4A" w:rsidP="36051D5A">
      <w:pPr>
        <w:spacing w:after="0"/>
        <w:jc w:val="both"/>
        <w:rPr>
          <w:rFonts w:cs="Arial"/>
          <w:sz w:val="20"/>
        </w:rPr>
      </w:pPr>
    </w:p>
    <w:tbl>
      <w:tblPr>
        <w:tblW w:w="9493" w:type="dxa"/>
        <w:tblLayout w:type="fixed"/>
        <w:tblLook w:val="0000" w:firstRow="0" w:lastRow="0" w:firstColumn="0" w:lastColumn="0" w:noHBand="0" w:noVBand="0"/>
      </w:tblPr>
      <w:tblGrid>
        <w:gridCol w:w="1838"/>
        <w:gridCol w:w="2694"/>
        <w:gridCol w:w="1842"/>
        <w:gridCol w:w="3119"/>
      </w:tblGrid>
      <w:tr w:rsidR="003D2A4A" w:rsidRPr="00CA30E7" w14:paraId="4C2F6F90" w14:textId="77777777" w:rsidTr="00A132B3">
        <w:trPr>
          <w:trHeight w:hRule="exact" w:val="567"/>
        </w:trPr>
        <w:tc>
          <w:tcPr>
            <w:tcW w:w="1838" w:type="dxa"/>
            <w:tcBorders>
              <w:top w:val="single" w:sz="4" w:space="0" w:color="auto"/>
              <w:left w:val="single" w:sz="4" w:space="0" w:color="auto"/>
              <w:bottom w:val="single" w:sz="4" w:space="0" w:color="auto"/>
              <w:right w:val="single" w:sz="4" w:space="0" w:color="auto"/>
            </w:tcBorders>
            <w:shd w:val="clear" w:color="auto" w:fill="CCCCCC"/>
            <w:vAlign w:val="center"/>
          </w:tcPr>
          <w:p w14:paraId="739D3A9F" w14:textId="77777777" w:rsidR="003D2A4A" w:rsidRPr="00CA30E7" w:rsidRDefault="00A132B3" w:rsidP="00573834">
            <w:pPr>
              <w:spacing w:before="60" w:after="60"/>
              <w:rPr>
                <w:rFonts w:cs="Arial"/>
                <w:b/>
                <w:color w:val="000000"/>
                <w:sz w:val="20"/>
              </w:rPr>
            </w:pPr>
            <w:r>
              <w:rPr>
                <w:rFonts w:cs="Arial"/>
                <w:b/>
                <w:color w:val="000000"/>
                <w:sz w:val="20"/>
              </w:rPr>
              <w:t>Audit Plan Reference</w:t>
            </w:r>
            <w:r w:rsidR="003D2A4A" w:rsidRPr="00CA30E7">
              <w:rPr>
                <w:rFonts w:cs="Arial"/>
                <w:b/>
                <w:color w:val="000000"/>
                <w:sz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DED819" w14:textId="77777777" w:rsidR="003D2A4A" w:rsidRDefault="00A132B3" w:rsidP="00573834">
            <w:pPr>
              <w:spacing w:before="60" w:after="60"/>
              <w:rPr>
                <w:rFonts w:cs="Arial"/>
                <w:color w:val="000000" w:themeColor="text1"/>
                <w:sz w:val="20"/>
              </w:rPr>
            </w:pPr>
            <w:r>
              <w:rPr>
                <w:rFonts w:cs="Arial"/>
                <w:color w:val="000000" w:themeColor="text1"/>
                <w:sz w:val="20"/>
              </w:rPr>
              <w:t>COI301/004</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tcPr>
          <w:p w14:paraId="0D153E7B" w14:textId="77777777" w:rsidR="003D2A4A" w:rsidRDefault="00A132B3" w:rsidP="00573834">
            <w:pPr>
              <w:spacing w:before="60" w:after="60"/>
              <w:rPr>
                <w:rFonts w:cs="Arial"/>
                <w:b/>
                <w:bCs/>
                <w:color w:val="000000"/>
                <w:sz w:val="20"/>
              </w:rPr>
            </w:pPr>
            <w:r>
              <w:rPr>
                <w:rFonts w:cs="Arial"/>
                <w:b/>
                <w:bCs/>
                <w:color w:val="000000" w:themeColor="text1"/>
                <w:sz w:val="20"/>
              </w:rPr>
              <w:t>Audit Plan Year:</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30AB0DB" w14:textId="77777777" w:rsidR="003D2A4A" w:rsidRPr="003D6C64" w:rsidRDefault="00A132B3" w:rsidP="00573834">
            <w:pPr>
              <w:spacing w:before="60" w:after="60"/>
              <w:rPr>
                <w:rFonts w:eastAsia="Verdana"/>
                <w:color w:val="000000" w:themeColor="text1"/>
                <w:sz w:val="20"/>
              </w:rPr>
            </w:pPr>
            <w:r>
              <w:rPr>
                <w:rFonts w:eastAsia="Verdana"/>
                <w:color w:val="000000" w:themeColor="text1"/>
                <w:sz w:val="20"/>
              </w:rPr>
              <w:t>2024/25</w:t>
            </w:r>
          </w:p>
        </w:tc>
      </w:tr>
      <w:tr w:rsidR="00A132B3" w:rsidRPr="00CA30E7" w14:paraId="63B7046A" w14:textId="77777777" w:rsidTr="00A132B3">
        <w:trPr>
          <w:trHeight w:hRule="exact" w:val="705"/>
        </w:trPr>
        <w:tc>
          <w:tcPr>
            <w:tcW w:w="1838" w:type="dxa"/>
            <w:tcBorders>
              <w:top w:val="single" w:sz="4" w:space="0" w:color="auto"/>
              <w:left w:val="single" w:sz="4" w:space="0" w:color="auto"/>
              <w:bottom w:val="single" w:sz="4" w:space="0" w:color="auto"/>
              <w:right w:val="single" w:sz="4" w:space="0" w:color="auto"/>
            </w:tcBorders>
            <w:shd w:val="clear" w:color="auto" w:fill="CCCCCC"/>
            <w:vAlign w:val="center"/>
          </w:tcPr>
          <w:p w14:paraId="52D7D562" w14:textId="77777777" w:rsidR="00A132B3" w:rsidRDefault="00A132B3" w:rsidP="00A132B3">
            <w:pPr>
              <w:spacing w:before="60" w:after="60"/>
              <w:rPr>
                <w:rFonts w:cs="Arial"/>
                <w:b/>
                <w:color w:val="000000"/>
                <w:sz w:val="20"/>
              </w:rPr>
            </w:pPr>
            <w:r>
              <w:rPr>
                <w:rFonts w:cs="Arial"/>
                <w:b/>
                <w:color w:val="000000"/>
                <w:sz w:val="20"/>
              </w:rPr>
              <w:t>Audit Manager: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D21FAED" w14:textId="77777777" w:rsidR="00A132B3" w:rsidRDefault="00A132B3" w:rsidP="00A132B3">
            <w:pPr>
              <w:spacing w:before="60" w:after="60"/>
              <w:rPr>
                <w:rFonts w:cs="Arial"/>
                <w:color w:val="000000"/>
                <w:sz w:val="20"/>
              </w:rPr>
            </w:pPr>
            <w:r>
              <w:rPr>
                <w:rFonts w:cs="Arial"/>
                <w:color w:val="000000"/>
                <w:sz w:val="20"/>
              </w:rPr>
              <w:t>Gordon O’Connor, MIIA</w:t>
            </w:r>
          </w:p>
        </w:tc>
        <w:tc>
          <w:tcPr>
            <w:tcW w:w="1842" w:type="dxa"/>
            <w:tcBorders>
              <w:top w:val="single" w:sz="4" w:space="0" w:color="auto"/>
              <w:left w:val="single" w:sz="4" w:space="0" w:color="auto"/>
              <w:bottom w:val="single" w:sz="4" w:space="0" w:color="auto"/>
              <w:right w:val="single" w:sz="4" w:space="0" w:color="auto"/>
            </w:tcBorders>
            <w:shd w:val="clear" w:color="auto" w:fill="CCCCCC"/>
            <w:vAlign w:val="center"/>
          </w:tcPr>
          <w:p w14:paraId="5BA42645" w14:textId="77777777" w:rsidR="00A132B3" w:rsidRDefault="00A132B3" w:rsidP="00A132B3">
            <w:pPr>
              <w:spacing w:before="60" w:after="60"/>
              <w:rPr>
                <w:rFonts w:cs="Arial"/>
                <w:b/>
                <w:bCs/>
                <w:color w:val="000000"/>
                <w:sz w:val="20"/>
              </w:rPr>
            </w:pPr>
            <w:r>
              <w:rPr>
                <w:rFonts w:cs="Arial"/>
                <w:b/>
                <w:bCs/>
                <w:color w:val="000000" w:themeColor="text1"/>
                <w:sz w:val="20"/>
              </w:rPr>
              <w:t>Lead Auditor</w:t>
            </w:r>
            <w:r w:rsidRPr="11F89680">
              <w:rPr>
                <w:rFonts w:cs="Arial"/>
                <w:b/>
                <w:bCs/>
                <w:color w:val="000000" w:themeColor="text1"/>
                <w:sz w:val="20"/>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35D0C8B" w14:textId="77777777" w:rsidR="00A132B3" w:rsidRDefault="00A132B3" w:rsidP="00A132B3">
            <w:pPr>
              <w:spacing w:before="60" w:after="60"/>
              <w:rPr>
                <w:rFonts w:cs="Arial"/>
                <w:color w:val="000000"/>
                <w:sz w:val="20"/>
              </w:rPr>
            </w:pPr>
            <w:r>
              <w:rPr>
                <w:rFonts w:cs="Arial"/>
                <w:color w:val="000000"/>
                <w:sz w:val="20"/>
              </w:rPr>
              <w:t>Steven McDermott, CPFA</w:t>
            </w:r>
          </w:p>
        </w:tc>
      </w:tr>
    </w:tbl>
    <w:p w14:paraId="7F314121" w14:textId="77777777" w:rsidR="001B43CB" w:rsidRPr="00B35D30" w:rsidRDefault="001B43CB" w:rsidP="00706DD1">
      <w:pPr>
        <w:spacing w:before="360"/>
        <w:rPr>
          <w:rFonts w:cs="Arial"/>
          <w:b/>
          <w:sz w:val="20"/>
          <w:lang w:val="en-US"/>
        </w:rPr>
      </w:pPr>
      <w:r w:rsidRPr="00B35D30">
        <w:rPr>
          <w:rFonts w:cs="Arial"/>
          <w:b/>
          <w:sz w:val="20"/>
          <w:lang w:val="en-US"/>
        </w:rPr>
        <w:t>Background</w:t>
      </w:r>
    </w:p>
    <w:p w14:paraId="1F9C7B0A" w14:textId="488EC041" w:rsidR="000C2EAA" w:rsidRPr="000C2EAA" w:rsidRDefault="000C2EAA" w:rsidP="000C2EAA">
      <w:pPr>
        <w:spacing w:after="0"/>
        <w:rPr>
          <w:rFonts w:cs="Arial"/>
          <w:sz w:val="20"/>
        </w:rPr>
      </w:pPr>
      <w:r w:rsidRPr="000C2EAA">
        <w:rPr>
          <w:rFonts w:cs="Arial"/>
          <w:sz w:val="20"/>
        </w:rPr>
        <w:t xml:space="preserve">The Terms of Reference of the Stirling and Clackmannanshire City Region Deal </w:t>
      </w:r>
      <w:r w:rsidR="00A01B18">
        <w:rPr>
          <w:rFonts w:cs="Arial"/>
          <w:sz w:val="20"/>
        </w:rPr>
        <w:t xml:space="preserve">(CRD) </w:t>
      </w:r>
      <w:r w:rsidRPr="000C2EAA">
        <w:rPr>
          <w:rFonts w:cs="Arial"/>
          <w:sz w:val="20"/>
        </w:rPr>
        <w:t xml:space="preserve">Joint Committee </w:t>
      </w:r>
      <w:r w:rsidR="00706DD1">
        <w:rPr>
          <w:rFonts w:cs="Arial"/>
          <w:sz w:val="20"/>
        </w:rPr>
        <w:t xml:space="preserve">(‘the Joint Committee’) </w:t>
      </w:r>
      <w:r w:rsidRPr="000C2EAA">
        <w:rPr>
          <w:rFonts w:cs="Arial"/>
          <w:sz w:val="20"/>
        </w:rPr>
        <w:t>require the Committee to make suitable arrangements for the revie</w:t>
      </w:r>
      <w:r>
        <w:rPr>
          <w:rFonts w:cs="Arial"/>
          <w:sz w:val="20"/>
        </w:rPr>
        <w:t xml:space="preserve">w and audit of its activities. </w:t>
      </w:r>
      <w:r w:rsidRPr="000C2EAA">
        <w:rPr>
          <w:rFonts w:cs="Arial"/>
          <w:sz w:val="20"/>
        </w:rPr>
        <w:t>Each CRD partner is responsible for making its own arrangements for the Internal Audit of its activities and for providing assurance to their organisation’s Audit Committee (or equivalent) on their organisation’s arrangements for risk management, governance and control.</w:t>
      </w:r>
    </w:p>
    <w:p w14:paraId="5128DF69" w14:textId="77777777" w:rsidR="000C2EAA" w:rsidRPr="000C2EAA" w:rsidRDefault="000C2EAA" w:rsidP="000C2EAA">
      <w:pPr>
        <w:spacing w:after="0"/>
        <w:rPr>
          <w:rFonts w:cs="Arial"/>
          <w:sz w:val="20"/>
        </w:rPr>
      </w:pPr>
    </w:p>
    <w:p w14:paraId="280FA280" w14:textId="6C30C368" w:rsidR="000C2EAA" w:rsidRPr="000C2EAA" w:rsidRDefault="000C2EAA" w:rsidP="000C2EAA">
      <w:pPr>
        <w:spacing w:after="0"/>
        <w:rPr>
          <w:rFonts w:cs="Arial"/>
          <w:sz w:val="20"/>
        </w:rPr>
      </w:pPr>
      <w:r w:rsidRPr="000C2EAA">
        <w:rPr>
          <w:rFonts w:cs="Arial"/>
          <w:sz w:val="20"/>
        </w:rPr>
        <w:t xml:space="preserve">As </w:t>
      </w:r>
      <w:r w:rsidR="00706DD1">
        <w:rPr>
          <w:rFonts w:cs="Arial"/>
          <w:sz w:val="20"/>
        </w:rPr>
        <w:t>‘</w:t>
      </w:r>
      <w:r w:rsidRPr="000C2EAA">
        <w:rPr>
          <w:rFonts w:cs="Arial"/>
          <w:sz w:val="20"/>
        </w:rPr>
        <w:t>Accountable Body</w:t>
      </w:r>
      <w:r w:rsidR="00706DD1">
        <w:rPr>
          <w:rFonts w:cs="Arial"/>
          <w:sz w:val="20"/>
        </w:rPr>
        <w:t>’</w:t>
      </w:r>
      <w:r w:rsidRPr="000C2EAA">
        <w:rPr>
          <w:rFonts w:cs="Arial"/>
          <w:sz w:val="20"/>
        </w:rPr>
        <w:t>, however, Stirling Council’s Internal Audit team will lead on Internal Audit work at a partnership level and report on that work, including the provision of appropriate assurance, to the Joint Committee.  This is in line with the grant offer letter from the Scottish Government to Stirling Council, as Accountable Body, most recently dated 29 June 2023.</w:t>
      </w:r>
      <w:r w:rsidR="00706DD1">
        <w:rPr>
          <w:rFonts w:cs="Arial"/>
          <w:sz w:val="20"/>
        </w:rPr>
        <w:t xml:space="preserve"> </w:t>
      </w:r>
    </w:p>
    <w:p w14:paraId="7AD9DCCB" w14:textId="77777777" w:rsidR="000C2EAA" w:rsidRDefault="000C2EAA" w:rsidP="000C2EAA">
      <w:pPr>
        <w:spacing w:after="0"/>
        <w:rPr>
          <w:rFonts w:cs="Arial"/>
          <w:sz w:val="20"/>
        </w:rPr>
      </w:pPr>
    </w:p>
    <w:p w14:paraId="22E8704C" w14:textId="7703A928" w:rsidR="000C2EAA" w:rsidRDefault="000C2EAA" w:rsidP="000C2EAA">
      <w:pPr>
        <w:spacing w:after="0"/>
        <w:rPr>
          <w:rFonts w:cs="Arial"/>
          <w:sz w:val="20"/>
        </w:rPr>
      </w:pPr>
      <w:r w:rsidRPr="000C2EAA">
        <w:rPr>
          <w:rFonts w:cs="Arial"/>
          <w:sz w:val="20"/>
        </w:rPr>
        <w:t xml:space="preserve">Sections 14.3 to 14.5 of the grant offer letter set out requirements in relation to Internal Audit Arrangements.  It is for the Accountable Body to ensure the allocation of Internal Audit resources and to ensure that Internal Audit work is undertaken in line with the Public Sector Internal Audit Standards. The conditions are clear that the Scottish Government expects </w:t>
      </w:r>
      <w:r w:rsidR="00706DD1">
        <w:rPr>
          <w:rFonts w:cs="Arial"/>
          <w:sz w:val="20"/>
        </w:rPr>
        <w:t xml:space="preserve">the </w:t>
      </w:r>
      <w:r w:rsidRPr="000C2EAA">
        <w:rPr>
          <w:rFonts w:cs="Arial"/>
          <w:sz w:val="20"/>
        </w:rPr>
        <w:t>CRD to form part of the Accountable Body’s risk based Internal Audit Plan every second year as a minimum.</w:t>
      </w:r>
    </w:p>
    <w:p w14:paraId="4A28D76B" w14:textId="77777777" w:rsidR="000C2EAA" w:rsidRDefault="000C2EAA" w:rsidP="000C2EAA">
      <w:pPr>
        <w:spacing w:after="0"/>
        <w:rPr>
          <w:rFonts w:cs="Arial"/>
          <w:sz w:val="20"/>
        </w:rPr>
      </w:pPr>
    </w:p>
    <w:p w14:paraId="2542FB54" w14:textId="7CAA6E0F" w:rsidR="00706DD1" w:rsidRPr="000C2EAA" w:rsidRDefault="000C2EAA" w:rsidP="00706DD1">
      <w:pPr>
        <w:spacing w:after="0"/>
        <w:rPr>
          <w:rFonts w:cs="Arial"/>
          <w:sz w:val="20"/>
        </w:rPr>
      </w:pPr>
      <w:r w:rsidRPr="000C2EAA">
        <w:rPr>
          <w:rFonts w:cs="Arial"/>
          <w:sz w:val="20"/>
          <w:lang w:eastAsia="en-GB"/>
        </w:rPr>
        <w:t xml:space="preserve">The scope </w:t>
      </w:r>
      <w:r>
        <w:rPr>
          <w:rFonts w:cs="Arial"/>
          <w:sz w:val="20"/>
          <w:lang w:eastAsia="en-GB"/>
        </w:rPr>
        <w:t xml:space="preserve">and assurance objectives set out below for the </w:t>
      </w:r>
      <w:r w:rsidRPr="000C2EAA">
        <w:rPr>
          <w:rFonts w:cs="Arial"/>
          <w:sz w:val="20"/>
          <w:lang w:eastAsia="en-GB"/>
        </w:rPr>
        <w:t>2024/25 Internal Audit work require to be approved by the Joint Committee at its meeting on 20 June 2024</w:t>
      </w:r>
      <w:r>
        <w:rPr>
          <w:rFonts w:cs="Arial"/>
          <w:sz w:val="20"/>
          <w:lang w:eastAsia="en-GB"/>
        </w:rPr>
        <w:t xml:space="preserve"> to </w:t>
      </w:r>
      <w:r w:rsidRPr="000C2EAA">
        <w:rPr>
          <w:rFonts w:cs="Arial"/>
          <w:sz w:val="20"/>
          <w:lang w:eastAsia="en-GB"/>
        </w:rPr>
        <w:t xml:space="preserve">allow </w:t>
      </w:r>
      <w:r w:rsidR="003D2A4A">
        <w:rPr>
          <w:rFonts w:cs="Arial"/>
          <w:sz w:val="20"/>
          <w:lang w:eastAsia="en-GB"/>
        </w:rPr>
        <w:t xml:space="preserve">internal audit </w:t>
      </w:r>
      <w:r w:rsidRPr="000C2EAA">
        <w:rPr>
          <w:rFonts w:cs="Arial"/>
          <w:sz w:val="20"/>
          <w:lang w:eastAsia="en-GB"/>
        </w:rPr>
        <w:t xml:space="preserve">work to be </w:t>
      </w:r>
      <w:r>
        <w:rPr>
          <w:rFonts w:cs="Arial"/>
          <w:sz w:val="20"/>
          <w:lang w:eastAsia="en-GB"/>
        </w:rPr>
        <w:t xml:space="preserve">scheduled and </w:t>
      </w:r>
      <w:r w:rsidRPr="000C2EAA">
        <w:rPr>
          <w:rFonts w:cs="Arial"/>
          <w:sz w:val="20"/>
          <w:lang w:eastAsia="en-GB"/>
        </w:rPr>
        <w:t xml:space="preserve">undertaken following </w:t>
      </w:r>
      <w:r>
        <w:rPr>
          <w:rFonts w:cs="Arial"/>
          <w:sz w:val="20"/>
          <w:lang w:eastAsia="en-GB"/>
        </w:rPr>
        <w:t xml:space="preserve">that </w:t>
      </w:r>
      <w:r w:rsidRPr="000C2EAA">
        <w:rPr>
          <w:rFonts w:cs="Arial"/>
          <w:sz w:val="20"/>
          <w:lang w:eastAsia="en-GB"/>
        </w:rPr>
        <w:t>approval</w:t>
      </w:r>
      <w:r w:rsidR="00706DD1">
        <w:rPr>
          <w:rFonts w:cs="Arial"/>
          <w:sz w:val="20"/>
          <w:lang w:eastAsia="en-GB"/>
        </w:rPr>
        <w:t xml:space="preserve"> and for reporting back to the Joint Committee. </w:t>
      </w:r>
      <w:r w:rsidR="00706DD1">
        <w:rPr>
          <w:rFonts w:cs="Arial"/>
          <w:sz w:val="20"/>
        </w:rPr>
        <w:t xml:space="preserve">The internal audit report will also be reported to </w:t>
      </w:r>
      <w:r w:rsidR="00706DD1">
        <w:rPr>
          <w:rFonts w:cs="Arial"/>
          <w:spacing w:val="-2"/>
          <w:sz w:val="20"/>
        </w:rPr>
        <w:t>the Audit Committee of Stirling Council and to the Scrutiny and Audit Committee of Clackmannanshire Council.</w:t>
      </w:r>
      <w:r w:rsidR="00A01B18">
        <w:rPr>
          <w:rFonts w:cs="Arial"/>
          <w:spacing w:val="-2"/>
          <w:sz w:val="20"/>
        </w:rPr>
        <w:t xml:space="preserve"> Dates are set out within the Timeline, below.</w:t>
      </w:r>
    </w:p>
    <w:p w14:paraId="0A344751" w14:textId="77777777" w:rsidR="0028273D" w:rsidRPr="00B35D30" w:rsidRDefault="0028273D" w:rsidP="004A299B">
      <w:pPr>
        <w:spacing w:before="240"/>
        <w:rPr>
          <w:rFonts w:cs="Arial"/>
          <w:b/>
          <w:sz w:val="20"/>
          <w:lang w:val="en-US"/>
        </w:rPr>
      </w:pPr>
      <w:r w:rsidRPr="00B35D30">
        <w:rPr>
          <w:rFonts w:cs="Arial"/>
          <w:b/>
          <w:sz w:val="20"/>
          <w:lang w:val="en-US"/>
        </w:rPr>
        <w:t>Resources</w:t>
      </w:r>
    </w:p>
    <w:p w14:paraId="12A09B3C" w14:textId="2F964607" w:rsidR="003D2A4A" w:rsidRDefault="0028273D">
      <w:pPr>
        <w:spacing w:after="160" w:line="259" w:lineRule="auto"/>
        <w:rPr>
          <w:rFonts w:cs="Arial"/>
          <w:sz w:val="20"/>
        </w:rPr>
      </w:pPr>
      <w:r w:rsidRPr="000C2EAA">
        <w:rPr>
          <w:rFonts w:cs="Arial"/>
          <w:sz w:val="20"/>
        </w:rPr>
        <w:t xml:space="preserve">As part of its role as Accountable Body, Stirling Council will provide </w:t>
      </w:r>
      <w:r>
        <w:rPr>
          <w:rFonts w:cs="Arial"/>
          <w:sz w:val="20"/>
        </w:rPr>
        <w:t xml:space="preserve">the necessary </w:t>
      </w:r>
      <w:r w:rsidRPr="000C2EAA">
        <w:rPr>
          <w:rFonts w:cs="Arial"/>
          <w:sz w:val="20"/>
        </w:rPr>
        <w:t>Internal Audit resource</w:t>
      </w:r>
      <w:r>
        <w:rPr>
          <w:rFonts w:cs="Arial"/>
          <w:sz w:val="20"/>
        </w:rPr>
        <w:t xml:space="preserve"> for this review,</w:t>
      </w:r>
      <w:r w:rsidRPr="000C2EAA">
        <w:rPr>
          <w:rFonts w:cs="Arial"/>
          <w:sz w:val="20"/>
        </w:rPr>
        <w:t xml:space="preserve"> in line with the conditions set out in the grant offer letter.</w:t>
      </w:r>
      <w:r>
        <w:rPr>
          <w:rFonts w:cs="Arial"/>
          <w:sz w:val="20"/>
        </w:rPr>
        <w:t xml:space="preserve"> </w:t>
      </w:r>
      <w:r w:rsidRPr="000C2EAA">
        <w:rPr>
          <w:rFonts w:cs="Arial"/>
          <w:sz w:val="20"/>
        </w:rPr>
        <w:t>Stirling Council’s Internal Audit Plan for 2024/25 was approved by the Council’s Audit Committee on 14 March 2024</w:t>
      </w:r>
      <w:r>
        <w:rPr>
          <w:rFonts w:cs="Arial"/>
          <w:sz w:val="20"/>
        </w:rPr>
        <w:t xml:space="preserve">, and </w:t>
      </w:r>
      <w:r w:rsidRPr="000C2EAA">
        <w:rPr>
          <w:rFonts w:cs="Arial"/>
          <w:sz w:val="20"/>
        </w:rPr>
        <w:t xml:space="preserve">included resource to be allocated to </w:t>
      </w:r>
      <w:r w:rsidR="00B35D30">
        <w:rPr>
          <w:rFonts w:cs="Arial"/>
          <w:sz w:val="20"/>
        </w:rPr>
        <w:t xml:space="preserve">review </w:t>
      </w:r>
      <w:r w:rsidRPr="000C2EAA">
        <w:rPr>
          <w:rFonts w:cs="Arial"/>
          <w:sz w:val="20"/>
        </w:rPr>
        <w:t>of CRD activities.</w:t>
      </w:r>
      <w:r>
        <w:rPr>
          <w:rFonts w:cs="Arial"/>
          <w:sz w:val="20"/>
        </w:rPr>
        <w:t xml:space="preserve"> Appropriate support </w:t>
      </w:r>
      <w:r w:rsidR="004A299B">
        <w:rPr>
          <w:rFonts w:cs="Arial"/>
          <w:sz w:val="20"/>
        </w:rPr>
        <w:t xml:space="preserve">and engagement via provision of documentation and prompt response to any queries </w:t>
      </w:r>
      <w:r>
        <w:rPr>
          <w:rFonts w:cs="Arial"/>
          <w:sz w:val="20"/>
        </w:rPr>
        <w:t xml:space="preserve">will be required from CRD partners, which will be managed </w:t>
      </w:r>
      <w:r w:rsidR="00B35D30">
        <w:rPr>
          <w:rFonts w:cs="Arial"/>
          <w:sz w:val="20"/>
        </w:rPr>
        <w:t xml:space="preserve">by the Lead Auditor </w:t>
      </w:r>
      <w:r>
        <w:rPr>
          <w:rFonts w:cs="Arial"/>
          <w:sz w:val="20"/>
        </w:rPr>
        <w:t>to minimise any impact on partners’ staff and other resources.</w:t>
      </w:r>
    </w:p>
    <w:p w14:paraId="3670181A" w14:textId="77777777" w:rsidR="0028273D" w:rsidRPr="00B35D30" w:rsidRDefault="0028273D" w:rsidP="00706DD1">
      <w:pPr>
        <w:spacing w:before="360"/>
        <w:rPr>
          <w:rFonts w:cs="Arial"/>
          <w:b/>
          <w:sz w:val="20"/>
        </w:rPr>
      </w:pPr>
      <w:r w:rsidRPr="00B35D30">
        <w:rPr>
          <w:rFonts w:cs="Arial"/>
          <w:b/>
          <w:sz w:val="20"/>
        </w:rPr>
        <w:t>Timeline</w:t>
      </w:r>
    </w:p>
    <w:p w14:paraId="055965FB" w14:textId="77777777" w:rsidR="0028273D" w:rsidRPr="0028273D" w:rsidRDefault="00B35D30" w:rsidP="00211D70">
      <w:pPr>
        <w:rPr>
          <w:rFonts w:cs="Arial"/>
          <w:sz w:val="20"/>
        </w:rPr>
      </w:pPr>
      <w:r>
        <w:rPr>
          <w:rFonts w:cs="Arial"/>
          <w:sz w:val="20"/>
        </w:rPr>
        <w:t xml:space="preserve">Assuming </w:t>
      </w:r>
      <w:r w:rsidR="0028273D">
        <w:rPr>
          <w:rFonts w:cs="Arial"/>
          <w:sz w:val="20"/>
        </w:rPr>
        <w:t xml:space="preserve">approval of the scope and assurance objectives by the Joint Committee </w:t>
      </w:r>
      <w:r>
        <w:rPr>
          <w:rFonts w:cs="Arial"/>
          <w:sz w:val="20"/>
        </w:rPr>
        <w:t xml:space="preserve">on 20 June 2024, </w:t>
      </w:r>
      <w:r w:rsidR="0028273D">
        <w:rPr>
          <w:rFonts w:cs="Arial"/>
          <w:sz w:val="20"/>
        </w:rPr>
        <w:t xml:space="preserve">and </w:t>
      </w:r>
      <w:r>
        <w:rPr>
          <w:rFonts w:cs="Arial"/>
          <w:sz w:val="20"/>
        </w:rPr>
        <w:t xml:space="preserve">the availability of appropriate </w:t>
      </w:r>
      <w:r w:rsidR="004A299B">
        <w:rPr>
          <w:rFonts w:cs="Arial"/>
          <w:sz w:val="20"/>
        </w:rPr>
        <w:t xml:space="preserve">engagement and </w:t>
      </w:r>
      <w:r w:rsidR="0028273D">
        <w:rPr>
          <w:rFonts w:cs="Arial"/>
          <w:sz w:val="20"/>
        </w:rPr>
        <w:t xml:space="preserve">support from CRD partners, the high-level time for the review work </w:t>
      </w:r>
      <w:r>
        <w:rPr>
          <w:rFonts w:cs="Arial"/>
          <w:sz w:val="20"/>
        </w:rPr>
        <w:t xml:space="preserve">and reporting </w:t>
      </w:r>
      <w:r w:rsidR="0028273D">
        <w:rPr>
          <w:rFonts w:cs="Arial"/>
          <w:sz w:val="20"/>
        </w:rPr>
        <w:t xml:space="preserve">is </w:t>
      </w:r>
      <w:r>
        <w:rPr>
          <w:rFonts w:cs="Arial"/>
          <w:sz w:val="20"/>
        </w:rPr>
        <w:t xml:space="preserve">anticipated </w:t>
      </w:r>
      <w:r w:rsidR="0028273D">
        <w:rPr>
          <w:rFonts w:cs="Arial"/>
          <w:sz w:val="20"/>
        </w:rPr>
        <w:t>to be:</w:t>
      </w:r>
    </w:p>
    <w:p w14:paraId="74C1916D" w14:textId="77777777" w:rsidR="00A01B18" w:rsidRDefault="00A01B18">
      <w:pPr>
        <w:spacing w:after="160" w:line="259" w:lineRule="auto"/>
        <w:rPr>
          <w:rFonts w:cs="Arial"/>
          <w:sz w:val="20"/>
        </w:rPr>
      </w:pPr>
      <w:r>
        <w:rPr>
          <w:rFonts w:cs="Arial"/>
          <w:sz w:val="20"/>
        </w:rPr>
        <w:br w:type="page"/>
      </w:r>
    </w:p>
    <w:p w14:paraId="51A9FB11" w14:textId="7A88FF93" w:rsidR="0028273D" w:rsidRDefault="00B35D30" w:rsidP="0028273D">
      <w:pPr>
        <w:pStyle w:val="ListParagraph"/>
        <w:numPr>
          <w:ilvl w:val="0"/>
          <w:numId w:val="9"/>
        </w:numPr>
        <w:rPr>
          <w:rFonts w:cs="Arial"/>
          <w:sz w:val="20"/>
        </w:rPr>
      </w:pPr>
      <w:r>
        <w:rPr>
          <w:rFonts w:cs="Arial"/>
          <w:sz w:val="20"/>
        </w:rPr>
        <w:lastRenderedPageBreak/>
        <w:t>Audit review and fieldwork:</w:t>
      </w:r>
      <w:r>
        <w:rPr>
          <w:rFonts w:cs="Arial"/>
          <w:sz w:val="20"/>
        </w:rPr>
        <w:tab/>
      </w:r>
      <w:r>
        <w:rPr>
          <w:rFonts w:cs="Arial"/>
          <w:sz w:val="20"/>
        </w:rPr>
        <w:tab/>
      </w:r>
      <w:r>
        <w:rPr>
          <w:rFonts w:cs="Arial"/>
          <w:sz w:val="20"/>
        </w:rPr>
        <w:tab/>
        <w:t>July – August 2024</w:t>
      </w:r>
    </w:p>
    <w:p w14:paraId="01118D74" w14:textId="77777777" w:rsidR="00B35D30" w:rsidRPr="00B35D30" w:rsidRDefault="00B35D30" w:rsidP="00B35D30">
      <w:pPr>
        <w:pStyle w:val="ListParagraph"/>
        <w:numPr>
          <w:ilvl w:val="0"/>
          <w:numId w:val="9"/>
        </w:numPr>
        <w:rPr>
          <w:rFonts w:cs="Arial"/>
          <w:sz w:val="20"/>
        </w:rPr>
      </w:pPr>
      <w:r>
        <w:rPr>
          <w:rFonts w:cs="Arial"/>
          <w:sz w:val="20"/>
        </w:rPr>
        <w:t>Preparation of draft audit report:</w:t>
      </w:r>
      <w:r>
        <w:rPr>
          <w:rFonts w:cs="Arial"/>
          <w:sz w:val="20"/>
        </w:rPr>
        <w:tab/>
      </w:r>
      <w:r>
        <w:rPr>
          <w:rFonts w:cs="Arial"/>
          <w:sz w:val="20"/>
        </w:rPr>
        <w:tab/>
        <w:t xml:space="preserve">August – </w:t>
      </w:r>
      <w:r w:rsidRPr="00B35D30">
        <w:rPr>
          <w:rFonts w:cs="Arial"/>
          <w:sz w:val="20"/>
        </w:rPr>
        <w:t>September 2024</w:t>
      </w:r>
    </w:p>
    <w:p w14:paraId="196C3931" w14:textId="1FB38C07" w:rsidR="0028273D" w:rsidRDefault="00706DD1" w:rsidP="0028273D">
      <w:pPr>
        <w:pStyle w:val="ListParagraph"/>
        <w:numPr>
          <w:ilvl w:val="0"/>
          <w:numId w:val="9"/>
        </w:numPr>
        <w:rPr>
          <w:rFonts w:cs="Arial"/>
          <w:sz w:val="20"/>
        </w:rPr>
      </w:pPr>
      <w:r>
        <w:rPr>
          <w:rFonts w:cs="Arial"/>
          <w:sz w:val="20"/>
        </w:rPr>
        <w:t>R</w:t>
      </w:r>
      <w:r w:rsidR="0028273D" w:rsidRPr="0028273D">
        <w:rPr>
          <w:rFonts w:cs="Arial"/>
          <w:sz w:val="20"/>
        </w:rPr>
        <w:t>e</w:t>
      </w:r>
      <w:r w:rsidR="0028273D">
        <w:rPr>
          <w:rFonts w:cs="Arial"/>
          <w:sz w:val="20"/>
        </w:rPr>
        <w:t xml:space="preserve">port to </w:t>
      </w:r>
      <w:r w:rsidR="00A01B18">
        <w:rPr>
          <w:rFonts w:cs="Arial"/>
          <w:sz w:val="20"/>
        </w:rPr>
        <w:t xml:space="preserve">the </w:t>
      </w:r>
      <w:r w:rsidR="0028273D">
        <w:rPr>
          <w:rFonts w:cs="Arial"/>
          <w:sz w:val="20"/>
        </w:rPr>
        <w:t>Joint Committee:</w:t>
      </w:r>
      <w:r w:rsidR="0028273D">
        <w:rPr>
          <w:rFonts w:cs="Arial"/>
          <w:sz w:val="20"/>
        </w:rPr>
        <w:tab/>
      </w:r>
      <w:r>
        <w:rPr>
          <w:rFonts w:cs="Arial"/>
          <w:sz w:val="20"/>
        </w:rPr>
        <w:tab/>
      </w:r>
      <w:r w:rsidR="00A01B18">
        <w:rPr>
          <w:rFonts w:cs="Arial"/>
          <w:sz w:val="20"/>
        </w:rPr>
        <w:t xml:space="preserve">16 </w:t>
      </w:r>
      <w:r w:rsidR="0028273D">
        <w:rPr>
          <w:rFonts w:cs="Arial"/>
          <w:sz w:val="20"/>
        </w:rPr>
        <w:t xml:space="preserve">January 2025 </w:t>
      </w:r>
      <w:r w:rsidR="00B35D30">
        <w:rPr>
          <w:rFonts w:cs="Arial"/>
          <w:sz w:val="20"/>
        </w:rPr>
        <w:t>(scheduled meeting)</w:t>
      </w:r>
    </w:p>
    <w:p w14:paraId="09513ABE" w14:textId="5250A2F9" w:rsidR="00A01B18" w:rsidRDefault="00A01B18" w:rsidP="0028273D">
      <w:pPr>
        <w:pStyle w:val="ListParagraph"/>
        <w:numPr>
          <w:ilvl w:val="0"/>
          <w:numId w:val="9"/>
        </w:numPr>
        <w:rPr>
          <w:rFonts w:cs="Arial"/>
          <w:sz w:val="20"/>
        </w:rPr>
      </w:pPr>
      <w:r>
        <w:rPr>
          <w:rFonts w:cs="Arial"/>
          <w:sz w:val="20"/>
        </w:rPr>
        <w:t>Report to Stirling Council Audit Committee:</w:t>
      </w:r>
      <w:r>
        <w:rPr>
          <w:rFonts w:cs="Arial"/>
          <w:sz w:val="20"/>
        </w:rPr>
        <w:tab/>
        <w:t>16 January 2025 (scheduled meeting)</w:t>
      </w:r>
    </w:p>
    <w:p w14:paraId="1D48C00F" w14:textId="3436AB75" w:rsidR="00A01B18" w:rsidRDefault="00A01B18" w:rsidP="0028273D">
      <w:pPr>
        <w:pStyle w:val="ListParagraph"/>
        <w:numPr>
          <w:ilvl w:val="0"/>
          <w:numId w:val="9"/>
        </w:numPr>
        <w:rPr>
          <w:rFonts w:cs="Arial"/>
          <w:sz w:val="20"/>
        </w:rPr>
      </w:pPr>
      <w:r>
        <w:rPr>
          <w:rFonts w:cs="Arial"/>
          <w:sz w:val="20"/>
        </w:rPr>
        <w:t xml:space="preserve">Report to Clackmannanshire Council </w:t>
      </w:r>
      <w:r>
        <w:rPr>
          <w:rFonts w:cs="Arial"/>
          <w:sz w:val="20"/>
        </w:rPr>
        <w:tab/>
        <w:t>06 February 2025 (scheduled meeting)</w:t>
      </w:r>
    </w:p>
    <w:p w14:paraId="07646C0F" w14:textId="0AFCB7E0" w:rsidR="00A01B18" w:rsidRPr="0028273D" w:rsidRDefault="00A01B18" w:rsidP="00A01B18">
      <w:pPr>
        <w:pStyle w:val="ListParagraph"/>
        <w:ind w:left="360"/>
        <w:rPr>
          <w:rFonts w:cs="Arial"/>
          <w:sz w:val="20"/>
        </w:rPr>
      </w:pPr>
      <w:r>
        <w:rPr>
          <w:rFonts w:cs="Arial"/>
          <w:sz w:val="20"/>
        </w:rPr>
        <w:t>Scrutiny &amp;Audit Committee:</w:t>
      </w:r>
    </w:p>
    <w:p w14:paraId="67DABA0E" w14:textId="77777777" w:rsidR="001B43CB" w:rsidRPr="00B35D30" w:rsidRDefault="001B43CB" w:rsidP="00A01B18">
      <w:pPr>
        <w:spacing w:before="360"/>
        <w:rPr>
          <w:rFonts w:cs="Arial"/>
          <w:b/>
          <w:sz w:val="20"/>
        </w:rPr>
      </w:pPr>
      <w:r w:rsidRPr="00B35D30">
        <w:rPr>
          <w:rFonts w:cs="Arial"/>
          <w:b/>
          <w:sz w:val="20"/>
        </w:rPr>
        <w:t>Risk Context</w:t>
      </w:r>
    </w:p>
    <w:p w14:paraId="4D20ABB3" w14:textId="585E8809" w:rsidR="00372B30" w:rsidRPr="00775BAE" w:rsidRDefault="00372B30" w:rsidP="14878189">
      <w:pPr>
        <w:spacing w:after="0"/>
        <w:rPr>
          <w:rFonts w:cs="Arial"/>
          <w:sz w:val="20"/>
        </w:rPr>
      </w:pPr>
      <w:r w:rsidRPr="11F89680">
        <w:rPr>
          <w:rFonts w:cs="Arial"/>
          <w:sz w:val="20"/>
        </w:rPr>
        <w:t xml:space="preserve">The scope of this review </w:t>
      </w:r>
      <w:r w:rsidR="00B35D30">
        <w:rPr>
          <w:rFonts w:cs="Arial"/>
          <w:sz w:val="20"/>
        </w:rPr>
        <w:t xml:space="preserve">recognises </w:t>
      </w:r>
      <w:r w:rsidR="00A01B18">
        <w:rPr>
          <w:rFonts w:cs="Arial"/>
          <w:sz w:val="20"/>
        </w:rPr>
        <w:t xml:space="preserve">and reflects </w:t>
      </w:r>
      <w:r w:rsidRPr="11F89680">
        <w:rPr>
          <w:rFonts w:cs="Arial"/>
          <w:sz w:val="20"/>
        </w:rPr>
        <w:t xml:space="preserve">the </w:t>
      </w:r>
      <w:r w:rsidR="2A0B1D75" w:rsidRPr="11F89680">
        <w:rPr>
          <w:rFonts w:cs="Arial"/>
          <w:sz w:val="20"/>
        </w:rPr>
        <w:t xml:space="preserve">following </w:t>
      </w:r>
      <w:r w:rsidR="00B35D30">
        <w:rPr>
          <w:rFonts w:cs="Arial"/>
          <w:sz w:val="20"/>
        </w:rPr>
        <w:t>r</w:t>
      </w:r>
      <w:r w:rsidRPr="11F89680">
        <w:rPr>
          <w:rFonts w:cs="Arial"/>
          <w:sz w:val="20"/>
        </w:rPr>
        <w:t>isk</w:t>
      </w:r>
      <w:r w:rsidR="00B51300">
        <w:rPr>
          <w:rFonts w:cs="Arial"/>
          <w:sz w:val="20"/>
        </w:rPr>
        <w:t xml:space="preserve"> </w:t>
      </w:r>
      <w:r w:rsidR="007665CF">
        <w:rPr>
          <w:rFonts w:cs="Arial"/>
          <w:sz w:val="20"/>
        </w:rPr>
        <w:t xml:space="preserve">and </w:t>
      </w:r>
      <w:r w:rsidR="00B35D30">
        <w:rPr>
          <w:rFonts w:cs="Arial"/>
          <w:sz w:val="20"/>
        </w:rPr>
        <w:t>i</w:t>
      </w:r>
      <w:r w:rsidR="007665CF">
        <w:rPr>
          <w:rFonts w:cs="Arial"/>
          <w:sz w:val="20"/>
        </w:rPr>
        <w:t xml:space="preserve">ssue </w:t>
      </w:r>
      <w:r w:rsidR="00B51300">
        <w:rPr>
          <w:rFonts w:cs="Arial"/>
          <w:sz w:val="20"/>
        </w:rPr>
        <w:t xml:space="preserve">identified within the </w:t>
      </w:r>
      <w:r w:rsidR="007665CF">
        <w:rPr>
          <w:rFonts w:cs="Arial"/>
          <w:sz w:val="20"/>
        </w:rPr>
        <w:t>R</w:t>
      </w:r>
      <w:r w:rsidR="007F270A">
        <w:rPr>
          <w:rFonts w:cs="Arial"/>
          <w:sz w:val="20"/>
        </w:rPr>
        <w:t xml:space="preserve">egional </w:t>
      </w:r>
      <w:r w:rsidR="007665CF">
        <w:rPr>
          <w:rFonts w:cs="Arial"/>
          <w:sz w:val="20"/>
        </w:rPr>
        <w:t>P</w:t>
      </w:r>
      <w:r w:rsidR="007F270A">
        <w:rPr>
          <w:rFonts w:cs="Arial"/>
          <w:sz w:val="20"/>
        </w:rPr>
        <w:t xml:space="preserve">rogramme </w:t>
      </w:r>
      <w:r w:rsidR="007665CF">
        <w:rPr>
          <w:rFonts w:cs="Arial"/>
          <w:sz w:val="20"/>
        </w:rPr>
        <w:t>M</w:t>
      </w:r>
      <w:r w:rsidR="007F270A">
        <w:rPr>
          <w:rFonts w:cs="Arial"/>
          <w:sz w:val="20"/>
        </w:rPr>
        <w:t xml:space="preserve">anagement </w:t>
      </w:r>
      <w:r w:rsidR="007665CF">
        <w:rPr>
          <w:rFonts w:cs="Arial"/>
          <w:sz w:val="20"/>
        </w:rPr>
        <w:t>O</w:t>
      </w:r>
      <w:r w:rsidR="007F270A">
        <w:rPr>
          <w:rFonts w:cs="Arial"/>
          <w:sz w:val="20"/>
        </w:rPr>
        <w:t>ffice</w:t>
      </w:r>
      <w:r w:rsidR="007665CF">
        <w:rPr>
          <w:rFonts w:cs="Arial"/>
          <w:sz w:val="20"/>
        </w:rPr>
        <w:t xml:space="preserve"> </w:t>
      </w:r>
      <w:r w:rsidR="00B51300">
        <w:rPr>
          <w:rFonts w:cs="Arial"/>
          <w:sz w:val="20"/>
        </w:rPr>
        <w:t>Risk Register for the City Region Deal</w:t>
      </w:r>
      <w:r w:rsidRPr="11F89680">
        <w:rPr>
          <w:rFonts w:cs="Arial"/>
          <w:sz w:val="20"/>
        </w:rPr>
        <w:t xml:space="preserve">. We will consider the existence and effectiveness of </w:t>
      </w:r>
      <w:r w:rsidR="00B35D30">
        <w:rPr>
          <w:rFonts w:cs="Arial"/>
          <w:sz w:val="20"/>
        </w:rPr>
        <w:t>relevant co</w:t>
      </w:r>
      <w:r w:rsidRPr="11F89680">
        <w:rPr>
          <w:rFonts w:cs="Arial"/>
          <w:sz w:val="20"/>
        </w:rPr>
        <w:t xml:space="preserve">ntrols </w:t>
      </w:r>
      <w:r w:rsidR="00B35D30">
        <w:rPr>
          <w:rFonts w:cs="Arial"/>
          <w:sz w:val="20"/>
        </w:rPr>
        <w:t xml:space="preserve">and mitigating actions </w:t>
      </w:r>
      <w:r w:rsidRPr="11F89680">
        <w:rPr>
          <w:rFonts w:cs="Arial"/>
          <w:sz w:val="20"/>
        </w:rPr>
        <w:t>that we identify in the course of our audit work.</w:t>
      </w:r>
    </w:p>
    <w:p w14:paraId="7967D6E1" w14:textId="77777777" w:rsidR="00372B30" w:rsidRPr="00775BAE" w:rsidRDefault="00372B30" w:rsidP="00211D70">
      <w:pPr>
        <w:spacing w:after="0"/>
        <w:rPr>
          <w:rFonts w:cs="Arial"/>
          <w:sz w:val="20"/>
        </w:rPr>
      </w:pPr>
    </w:p>
    <w:tbl>
      <w:tblPr>
        <w:tblStyle w:val="TableGrid0"/>
        <w:tblW w:w="5000" w:type="pct"/>
        <w:tblInd w:w="0" w:type="dxa"/>
        <w:tblCellMar>
          <w:top w:w="43" w:type="dxa"/>
          <w:left w:w="43" w:type="dxa"/>
          <w:bottom w:w="43" w:type="dxa"/>
          <w:right w:w="43" w:type="dxa"/>
        </w:tblCellMar>
        <w:tblLook w:val="04A0" w:firstRow="1" w:lastRow="0" w:firstColumn="1" w:lastColumn="0" w:noHBand="0" w:noVBand="1"/>
      </w:tblPr>
      <w:tblGrid>
        <w:gridCol w:w="3391"/>
        <w:gridCol w:w="774"/>
        <w:gridCol w:w="1414"/>
        <w:gridCol w:w="4054"/>
      </w:tblGrid>
      <w:tr w:rsidR="00C91DFD" w:rsidRPr="00BF2FF0" w14:paraId="011374FB" w14:textId="77777777" w:rsidTr="00B35D30">
        <w:trPr>
          <w:trHeight w:val="288"/>
          <w:tblHeader/>
        </w:trPr>
        <w:tc>
          <w:tcPr>
            <w:tcW w:w="1760" w:type="pct"/>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1FAB6250" w14:textId="77777777" w:rsidR="00C91DFD" w:rsidRPr="00BF2FF0" w:rsidRDefault="00E13F11" w:rsidP="007665CF">
            <w:pPr>
              <w:spacing w:after="0"/>
              <w:rPr>
                <w:rFonts w:cs="Arial"/>
                <w:b/>
                <w:bCs/>
                <w:sz w:val="20"/>
                <w:szCs w:val="24"/>
                <w:u w:color="000000"/>
              </w:rPr>
            </w:pPr>
            <w:r w:rsidRPr="00BF2FF0">
              <w:rPr>
                <w:rFonts w:cs="Arial"/>
                <w:b/>
                <w:bCs/>
                <w:sz w:val="20"/>
                <w:szCs w:val="24"/>
                <w:u w:color="000000"/>
              </w:rPr>
              <w:t>Risk</w:t>
            </w:r>
            <w:r w:rsidR="007665CF">
              <w:rPr>
                <w:rFonts w:cs="Arial"/>
                <w:b/>
                <w:bCs/>
                <w:sz w:val="20"/>
                <w:szCs w:val="24"/>
                <w:u w:color="000000"/>
              </w:rPr>
              <w:t xml:space="preserve"> / Issue</w:t>
            </w:r>
          </w:p>
        </w:tc>
        <w:tc>
          <w:tcPr>
            <w:tcW w:w="402" w:type="pct"/>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CE7522F" w14:textId="77777777" w:rsidR="00C91DFD" w:rsidRPr="00BF2FF0" w:rsidRDefault="00E13F11" w:rsidP="00E13F11">
            <w:pPr>
              <w:spacing w:after="0"/>
              <w:jc w:val="center"/>
              <w:rPr>
                <w:rFonts w:cs="Arial"/>
                <w:b/>
                <w:bCs/>
                <w:sz w:val="20"/>
                <w:szCs w:val="24"/>
                <w:u w:color="000000"/>
              </w:rPr>
            </w:pPr>
            <w:r w:rsidRPr="00BF2FF0">
              <w:rPr>
                <w:rFonts w:cs="Arial"/>
                <w:b/>
                <w:bCs/>
                <w:sz w:val="20"/>
                <w:szCs w:val="24"/>
                <w:u w:color="000000"/>
              </w:rPr>
              <w:t>Risk Score</w:t>
            </w:r>
          </w:p>
        </w:tc>
        <w:tc>
          <w:tcPr>
            <w:tcW w:w="734" w:type="pct"/>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148949E" w14:textId="77777777" w:rsidR="00C91DFD" w:rsidRPr="00BF2FF0" w:rsidRDefault="007665CF" w:rsidP="007665CF">
            <w:pPr>
              <w:spacing w:after="0"/>
              <w:jc w:val="center"/>
              <w:rPr>
                <w:rFonts w:cs="Arial"/>
                <w:b/>
                <w:bCs/>
                <w:sz w:val="20"/>
                <w:szCs w:val="24"/>
                <w:u w:color="000000"/>
              </w:rPr>
            </w:pPr>
            <w:r>
              <w:rPr>
                <w:rFonts w:cs="Arial"/>
                <w:b/>
                <w:bCs/>
                <w:sz w:val="20"/>
                <w:szCs w:val="24"/>
                <w:u w:color="000000"/>
              </w:rPr>
              <w:t>Owner</w:t>
            </w:r>
            <w:r w:rsidRPr="00BF2FF0">
              <w:rPr>
                <w:rFonts w:cs="Arial"/>
                <w:b/>
                <w:bCs/>
                <w:sz w:val="20"/>
                <w:szCs w:val="24"/>
                <w:u w:color="000000"/>
              </w:rPr>
              <w:t xml:space="preserve"> </w:t>
            </w:r>
            <w:r w:rsidR="00E13F11" w:rsidRPr="00BF2FF0">
              <w:rPr>
                <w:rFonts w:cs="Arial"/>
                <w:b/>
                <w:bCs/>
                <w:sz w:val="20"/>
                <w:szCs w:val="24"/>
                <w:u w:color="000000"/>
              </w:rPr>
              <w:t>(s)</w:t>
            </w:r>
          </w:p>
        </w:tc>
        <w:tc>
          <w:tcPr>
            <w:tcW w:w="2104" w:type="pct"/>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87A2612" w14:textId="77777777" w:rsidR="00C91DFD" w:rsidRPr="00BF2FF0" w:rsidRDefault="007665CF" w:rsidP="007665CF">
            <w:pPr>
              <w:spacing w:after="0"/>
              <w:rPr>
                <w:rFonts w:cs="Arial"/>
                <w:b/>
                <w:bCs/>
                <w:sz w:val="20"/>
                <w:szCs w:val="24"/>
                <w:u w:color="000000"/>
              </w:rPr>
            </w:pPr>
            <w:r>
              <w:rPr>
                <w:rFonts w:cs="Arial"/>
                <w:b/>
                <w:bCs/>
                <w:sz w:val="20"/>
                <w:szCs w:val="24"/>
                <w:u w:color="000000"/>
              </w:rPr>
              <w:t>Mitigating Action</w:t>
            </w:r>
            <w:r w:rsidR="00E13F11" w:rsidRPr="00BF2FF0">
              <w:rPr>
                <w:rFonts w:cs="Arial"/>
                <w:b/>
                <w:bCs/>
                <w:sz w:val="20"/>
                <w:szCs w:val="24"/>
                <w:u w:color="000000"/>
              </w:rPr>
              <w:t>(s)</w:t>
            </w:r>
          </w:p>
        </w:tc>
      </w:tr>
      <w:tr w:rsidR="006C7A00" w:rsidRPr="00625223" w14:paraId="77BC7741" w14:textId="77777777" w:rsidTr="00B35D3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4"/>
        </w:trPr>
        <w:tc>
          <w:tcPr>
            <w:tcW w:w="1760" w:type="pct"/>
            <w:tcBorders>
              <w:bottom w:val="single" w:sz="2" w:space="0" w:color="000000"/>
            </w:tcBorders>
            <w:vAlign w:val="center"/>
          </w:tcPr>
          <w:p w14:paraId="627B7F26" w14:textId="77777777" w:rsidR="006C7A00" w:rsidRPr="00625223" w:rsidRDefault="007665CF" w:rsidP="00A132B3">
            <w:pPr>
              <w:spacing w:before="60" w:after="60"/>
              <w:rPr>
                <w:rFonts w:cs="Arial"/>
                <w:sz w:val="18"/>
                <w:szCs w:val="22"/>
                <w:u w:color="000000"/>
              </w:rPr>
            </w:pPr>
            <w:r>
              <w:rPr>
                <w:rFonts w:cs="Arial"/>
                <w:sz w:val="18"/>
                <w:szCs w:val="22"/>
                <w:u w:color="000000"/>
              </w:rPr>
              <w:t xml:space="preserve">R2 - </w:t>
            </w:r>
            <w:r w:rsidRPr="007665CF">
              <w:rPr>
                <w:rFonts w:cs="Arial"/>
                <w:sz w:val="18"/>
                <w:szCs w:val="22"/>
                <w:u w:color="000000"/>
              </w:rPr>
              <w:t>If Joint Committee members are not confident to approve, then projects may be prevented from progressing</w:t>
            </w:r>
            <w:r>
              <w:rPr>
                <w:rFonts w:cs="Arial"/>
                <w:sz w:val="18"/>
                <w:szCs w:val="22"/>
                <w:u w:color="000000"/>
              </w:rPr>
              <w:t>.</w:t>
            </w:r>
          </w:p>
        </w:tc>
        <w:tc>
          <w:tcPr>
            <w:tcW w:w="402" w:type="pct"/>
            <w:tcBorders>
              <w:bottom w:val="single" w:sz="2" w:space="0" w:color="000000"/>
            </w:tcBorders>
            <w:shd w:val="clear" w:color="auto" w:fill="FFC000"/>
            <w:vAlign w:val="center"/>
          </w:tcPr>
          <w:p w14:paraId="36C9B6F6" w14:textId="77777777" w:rsidR="006C7A00" w:rsidRPr="00A93E3A" w:rsidRDefault="007665CF" w:rsidP="00EB5F04">
            <w:pPr>
              <w:spacing w:before="60" w:after="60"/>
              <w:jc w:val="center"/>
              <w:rPr>
                <w:rFonts w:cs="Arial"/>
                <w:b/>
                <w:bCs/>
                <w:sz w:val="18"/>
                <w:szCs w:val="22"/>
                <w:u w:color="000000"/>
              </w:rPr>
            </w:pPr>
            <w:r>
              <w:rPr>
                <w:rFonts w:cs="Arial"/>
                <w:b/>
                <w:bCs/>
                <w:sz w:val="18"/>
                <w:szCs w:val="22"/>
                <w:u w:color="000000"/>
              </w:rPr>
              <w:t>12</w:t>
            </w:r>
          </w:p>
        </w:tc>
        <w:tc>
          <w:tcPr>
            <w:tcW w:w="734" w:type="pct"/>
            <w:tcBorders>
              <w:bottom w:val="single" w:sz="2" w:space="0" w:color="000000"/>
            </w:tcBorders>
            <w:vAlign w:val="center"/>
          </w:tcPr>
          <w:p w14:paraId="7D4080D2" w14:textId="77777777" w:rsidR="00A01B18" w:rsidRDefault="007665CF" w:rsidP="00A01B18">
            <w:pPr>
              <w:spacing w:before="60" w:after="60"/>
              <w:jc w:val="center"/>
              <w:rPr>
                <w:rFonts w:cs="Arial"/>
                <w:sz w:val="18"/>
                <w:szCs w:val="22"/>
                <w:u w:color="000000"/>
              </w:rPr>
            </w:pPr>
            <w:r w:rsidRPr="007665CF">
              <w:rPr>
                <w:rFonts w:cs="Arial"/>
                <w:sz w:val="18"/>
                <w:szCs w:val="22"/>
                <w:u w:color="000000"/>
              </w:rPr>
              <w:t>R</w:t>
            </w:r>
            <w:r w:rsidR="00A01B18">
              <w:rPr>
                <w:rFonts w:cs="Arial"/>
                <w:sz w:val="18"/>
                <w:szCs w:val="22"/>
                <w:u w:color="000000"/>
              </w:rPr>
              <w:t xml:space="preserve">egional Programme Management Office </w:t>
            </w:r>
            <w:r w:rsidRPr="007665CF">
              <w:rPr>
                <w:rFonts w:cs="Arial"/>
                <w:sz w:val="18"/>
                <w:szCs w:val="22"/>
                <w:u w:color="000000"/>
              </w:rPr>
              <w:t xml:space="preserve">/ </w:t>
            </w:r>
          </w:p>
          <w:p w14:paraId="737CDEB8" w14:textId="7F23033F" w:rsidR="006C7A00" w:rsidRPr="00625223" w:rsidRDefault="00A01B18" w:rsidP="00A01B18">
            <w:pPr>
              <w:spacing w:before="60" w:after="60"/>
              <w:jc w:val="center"/>
              <w:rPr>
                <w:rFonts w:cs="Arial"/>
                <w:sz w:val="18"/>
                <w:szCs w:val="22"/>
                <w:u w:color="000000"/>
              </w:rPr>
            </w:pPr>
            <w:r>
              <w:rPr>
                <w:rFonts w:cs="Arial"/>
                <w:sz w:val="18"/>
                <w:szCs w:val="22"/>
                <w:u w:color="000000"/>
              </w:rPr>
              <w:t>Chief Officers’ Group</w:t>
            </w:r>
          </w:p>
        </w:tc>
        <w:tc>
          <w:tcPr>
            <w:tcW w:w="2104" w:type="pct"/>
            <w:tcBorders>
              <w:bottom w:val="single" w:sz="2" w:space="0" w:color="000000"/>
            </w:tcBorders>
            <w:vAlign w:val="center"/>
          </w:tcPr>
          <w:p w14:paraId="18793381" w14:textId="77777777" w:rsidR="007665CF" w:rsidRPr="007665CF" w:rsidRDefault="007665CF" w:rsidP="007665CF">
            <w:pPr>
              <w:spacing w:before="60" w:after="60"/>
              <w:rPr>
                <w:rFonts w:cs="Arial"/>
                <w:sz w:val="18"/>
                <w:szCs w:val="22"/>
                <w:u w:color="000000"/>
              </w:rPr>
            </w:pPr>
            <w:r w:rsidRPr="007665CF">
              <w:rPr>
                <w:rFonts w:cs="Arial"/>
                <w:sz w:val="18"/>
                <w:szCs w:val="22"/>
                <w:u w:color="000000"/>
              </w:rPr>
              <w:t>RPMO to create expert business case review group to inform and reassure Joint Committee prior to submission</w:t>
            </w:r>
            <w:r>
              <w:rPr>
                <w:rFonts w:cs="Arial"/>
                <w:sz w:val="18"/>
                <w:szCs w:val="22"/>
                <w:u w:color="000000"/>
              </w:rPr>
              <w:t>.</w:t>
            </w:r>
          </w:p>
          <w:p w14:paraId="7CB99CAC" w14:textId="77777777" w:rsidR="006C7A00" w:rsidRPr="00625223" w:rsidRDefault="007665CF" w:rsidP="007665CF">
            <w:pPr>
              <w:spacing w:before="60" w:after="60"/>
              <w:rPr>
                <w:rFonts w:cs="Arial"/>
                <w:sz w:val="18"/>
                <w:szCs w:val="22"/>
                <w:u w:color="000000"/>
              </w:rPr>
            </w:pPr>
            <w:r w:rsidRPr="007665CF">
              <w:rPr>
                <w:rFonts w:cs="Arial"/>
                <w:sz w:val="18"/>
                <w:szCs w:val="22"/>
                <w:u w:color="000000"/>
              </w:rPr>
              <w:t>RPMO to continue with Joint Committee briefing sessions to ensure full understanding of committee agenda items</w:t>
            </w:r>
            <w:r>
              <w:rPr>
                <w:rFonts w:cs="Arial"/>
                <w:sz w:val="18"/>
                <w:szCs w:val="22"/>
                <w:u w:color="000000"/>
              </w:rPr>
              <w:t>.</w:t>
            </w:r>
          </w:p>
        </w:tc>
      </w:tr>
      <w:tr w:rsidR="00036B33" w:rsidRPr="00625223" w14:paraId="0255A384" w14:textId="77777777" w:rsidTr="00B35D30">
        <w:trPr>
          <w:trHeight w:val="288"/>
        </w:trPr>
        <w:tc>
          <w:tcPr>
            <w:tcW w:w="1760" w:type="pct"/>
            <w:tcBorders>
              <w:top w:val="single" w:sz="2" w:space="0" w:color="000000"/>
              <w:left w:val="single" w:sz="2" w:space="0" w:color="000000"/>
              <w:bottom w:val="single" w:sz="2" w:space="0" w:color="000000"/>
              <w:right w:val="single" w:sz="2" w:space="0" w:color="000000"/>
            </w:tcBorders>
            <w:vAlign w:val="center"/>
          </w:tcPr>
          <w:p w14:paraId="1437F3B9" w14:textId="77777777" w:rsidR="00036B33" w:rsidRPr="00625223" w:rsidRDefault="00A132B3" w:rsidP="00A132B3">
            <w:pPr>
              <w:spacing w:before="60" w:after="60"/>
              <w:rPr>
                <w:rFonts w:cs="Arial"/>
                <w:sz w:val="18"/>
                <w:szCs w:val="22"/>
                <w:u w:color="000000"/>
              </w:rPr>
            </w:pPr>
            <w:r>
              <w:rPr>
                <w:rFonts w:cs="Arial"/>
                <w:sz w:val="18"/>
                <w:szCs w:val="22"/>
                <w:u w:color="000000"/>
              </w:rPr>
              <w:t xml:space="preserve">I1 - </w:t>
            </w:r>
            <w:r w:rsidRPr="00A132B3">
              <w:rPr>
                <w:rFonts w:cs="Arial"/>
                <w:sz w:val="18"/>
                <w:szCs w:val="22"/>
                <w:u w:color="000000"/>
              </w:rPr>
              <w:t>Inflation is degrading the actual value of the Deal Award, causing costs to rise.</w:t>
            </w:r>
            <w:r>
              <w:rPr>
                <w:rFonts w:cs="Arial"/>
                <w:sz w:val="18"/>
                <w:szCs w:val="22"/>
                <w:u w:color="000000"/>
              </w:rPr>
              <w:t xml:space="preserve"> </w:t>
            </w:r>
            <w:r w:rsidRPr="00A132B3">
              <w:rPr>
                <w:rFonts w:cs="Arial"/>
                <w:sz w:val="18"/>
                <w:szCs w:val="22"/>
                <w:u w:color="000000"/>
              </w:rPr>
              <w:t>The financial claims profile is moving to the right.</w:t>
            </w:r>
            <w:r>
              <w:rPr>
                <w:rFonts w:cs="Arial"/>
                <w:sz w:val="18"/>
                <w:szCs w:val="22"/>
                <w:u w:color="000000"/>
              </w:rPr>
              <w:t xml:space="preserve"> </w:t>
            </w:r>
            <w:r w:rsidRPr="00A132B3">
              <w:rPr>
                <w:rFonts w:cs="Arial"/>
                <w:sz w:val="18"/>
                <w:szCs w:val="22"/>
                <w:u w:color="000000"/>
              </w:rPr>
              <w:t>Meaning in real terms the fund is decr</w:t>
            </w:r>
            <w:r>
              <w:rPr>
                <w:rFonts w:cs="Arial"/>
                <w:sz w:val="18"/>
                <w:szCs w:val="22"/>
                <w:u w:color="000000"/>
              </w:rPr>
              <w:t>easing as costs are increasing.</w:t>
            </w:r>
          </w:p>
        </w:tc>
        <w:tc>
          <w:tcPr>
            <w:tcW w:w="402" w:type="pct"/>
            <w:tcBorders>
              <w:top w:val="single" w:sz="2" w:space="0" w:color="000000"/>
              <w:left w:val="single" w:sz="2" w:space="0" w:color="000000"/>
              <w:bottom w:val="single" w:sz="2" w:space="0" w:color="000000"/>
              <w:right w:val="single" w:sz="2" w:space="0" w:color="000000"/>
            </w:tcBorders>
            <w:shd w:val="clear" w:color="auto" w:fill="FF0000"/>
            <w:vAlign w:val="center"/>
          </w:tcPr>
          <w:p w14:paraId="418DC478" w14:textId="77777777" w:rsidR="00036B33" w:rsidRPr="00A93E3A" w:rsidRDefault="00A132B3" w:rsidP="009F4E79">
            <w:pPr>
              <w:spacing w:before="60" w:after="60"/>
              <w:jc w:val="center"/>
              <w:rPr>
                <w:rFonts w:cs="Arial"/>
                <w:b/>
                <w:bCs/>
                <w:sz w:val="18"/>
                <w:szCs w:val="22"/>
                <w:u w:color="000000"/>
              </w:rPr>
            </w:pPr>
            <w:r>
              <w:rPr>
                <w:rFonts w:cs="Arial"/>
                <w:b/>
                <w:bCs/>
                <w:sz w:val="18"/>
                <w:szCs w:val="22"/>
                <w:u w:color="000000"/>
              </w:rPr>
              <w:t>20</w:t>
            </w:r>
          </w:p>
        </w:tc>
        <w:tc>
          <w:tcPr>
            <w:tcW w:w="734" w:type="pct"/>
            <w:tcBorders>
              <w:top w:val="single" w:sz="2" w:space="0" w:color="000000"/>
              <w:left w:val="single" w:sz="2" w:space="0" w:color="000000"/>
              <w:bottom w:val="single" w:sz="2" w:space="0" w:color="000000"/>
              <w:right w:val="single" w:sz="2" w:space="0" w:color="000000"/>
            </w:tcBorders>
            <w:vAlign w:val="center"/>
          </w:tcPr>
          <w:p w14:paraId="76B6F546" w14:textId="6C6B45B5" w:rsidR="00036B33" w:rsidRPr="00625223" w:rsidRDefault="00A132B3" w:rsidP="007665CF">
            <w:pPr>
              <w:spacing w:before="60" w:after="60"/>
              <w:jc w:val="center"/>
              <w:rPr>
                <w:rFonts w:cs="Arial"/>
                <w:sz w:val="18"/>
                <w:szCs w:val="22"/>
                <w:u w:color="000000"/>
              </w:rPr>
            </w:pPr>
            <w:r>
              <w:rPr>
                <w:rFonts w:cs="Arial"/>
                <w:sz w:val="18"/>
                <w:szCs w:val="22"/>
                <w:u w:color="000000"/>
              </w:rPr>
              <w:t>C</w:t>
            </w:r>
            <w:r w:rsidR="00A01B18">
              <w:rPr>
                <w:rFonts w:cs="Arial"/>
                <w:sz w:val="18"/>
                <w:szCs w:val="22"/>
                <w:u w:color="000000"/>
              </w:rPr>
              <w:t xml:space="preserve">hief </w:t>
            </w:r>
            <w:r>
              <w:rPr>
                <w:rFonts w:cs="Arial"/>
                <w:sz w:val="18"/>
                <w:szCs w:val="22"/>
                <w:u w:color="000000"/>
              </w:rPr>
              <w:t>O</w:t>
            </w:r>
            <w:r w:rsidR="00A01B18">
              <w:rPr>
                <w:rFonts w:cs="Arial"/>
                <w:sz w:val="18"/>
                <w:szCs w:val="22"/>
                <w:u w:color="000000"/>
              </w:rPr>
              <w:t xml:space="preserve">fficers’ </w:t>
            </w:r>
            <w:r>
              <w:rPr>
                <w:rFonts w:cs="Arial"/>
                <w:sz w:val="18"/>
                <w:szCs w:val="22"/>
                <w:u w:color="000000"/>
              </w:rPr>
              <w:t>G</w:t>
            </w:r>
            <w:r w:rsidR="00A01B18">
              <w:rPr>
                <w:rFonts w:cs="Arial"/>
                <w:sz w:val="18"/>
                <w:szCs w:val="22"/>
                <w:u w:color="000000"/>
              </w:rPr>
              <w:t>roup (COG)</w:t>
            </w:r>
          </w:p>
        </w:tc>
        <w:tc>
          <w:tcPr>
            <w:tcW w:w="2104" w:type="pct"/>
            <w:tcBorders>
              <w:top w:val="single" w:sz="2" w:space="0" w:color="000000"/>
              <w:left w:val="single" w:sz="2" w:space="0" w:color="000000"/>
              <w:bottom w:val="single" w:sz="2" w:space="0" w:color="000000"/>
              <w:right w:val="single" w:sz="2" w:space="0" w:color="000000"/>
            </w:tcBorders>
            <w:vAlign w:val="center"/>
          </w:tcPr>
          <w:p w14:paraId="63EC7BC8" w14:textId="77777777" w:rsidR="00036B33" w:rsidRPr="00625223" w:rsidRDefault="00A132B3" w:rsidP="00520FE2">
            <w:pPr>
              <w:spacing w:before="60" w:after="60"/>
              <w:rPr>
                <w:rFonts w:cs="Arial"/>
                <w:sz w:val="18"/>
                <w:szCs w:val="22"/>
                <w:u w:color="000000"/>
              </w:rPr>
            </w:pPr>
            <w:r w:rsidRPr="00A132B3">
              <w:rPr>
                <w:rFonts w:cs="Arial"/>
                <w:sz w:val="18"/>
                <w:szCs w:val="22"/>
                <w:u w:color="000000"/>
              </w:rPr>
              <w:t>2024 implementation plan to consider the current financial position and future forecast and re-base activity</w:t>
            </w:r>
            <w:r>
              <w:rPr>
                <w:rFonts w:cs="Arial"/>
                <w:sz w:val="18"/>
                <w:szCs w:val="22"/>
                <w:u w:color="000000"/>
              </w:rPr>
              <w:t>.</w:t>
            </w:r>
          </w:p>
        </w:tc>
      </w:tr>
    </w:tbl>
    <w:p w14:paraId="2A6EBC19" w14:textId="77777777" w:rsidR="00372B30" w:rsidRPr="00B35D30" w:rsidRDefault="00A132B3" w:rsidP="00A01B18">
      <w:pPr>
        <w:spacing w:before="360"/>
        <w:rPr>
          <w:rFonts w:cs="Arial"/>
          <w:b/>
          <w:spacing w:val="-2"/>
          <w:sz w:val="20"/>
        </w:rPr>
      </w:pPr>
      <w:r w:rsidRPr="00B35D30">
        <w:rPr>
          <w:rFonts w:cs="Arial"/>
          <w:b/>
          <w:spacing w:val="-2"/>
          <w:sz w:val="20"/>
        </w:rPr>
        <w:t xml:space="preserve">Scope </w:t>
      </w:r>
      <w:r w:rsidR="00B35D30" w:rsidRPr="00B35D30">
        <w:rPr>
          <w:rFonts w:cs="Arial"/>
          <w:b/>
          <w:spacing w:val="-2"/>
          <w:sz w:val="20"/>
        </w:rPr>
        <w:t>of Review</w:t>
      </w:r>
    </w:p>
    <w:p w14:paraId="7532C6F3" w14:textId="02D9EA57" w:rsidR="00C87FC5" w:rsidRDefault="007E6DF8" w:rsidP="11F89680">
      <w:pPr>
        <w:spacing w:after="0"/>
        <w:rPr>
          <w:rFonts w:cs="Arial"/>
          <w:spacing w:val="-2"/>
          <w:sz w:val="20"/>
        </w:rPr>
      </w:pPr>
      <w:r w:rsidRPr="11F89680">
        <w:rPr>
          <w:rFonts w:cs="Arial"/>
          <w:spacing w:val="-2"/>
          <w:sz w:val="20"/>
        </w:rPr>
        <w:t>Th</w:t>
      </w:r>
      <w:r w:rsidR="00C87FC5">
        <w:rPr>
          <w:rFonts w:cs="Arial"/>
          <w:spacing w:val="-2"/>
          <w:sz w:val="20"/>
        </w:rPr>
        <w:t>is</w:t>
      </w:r>
      <w:r w:rsidR="00A132B3">
        <w:rPr>
          <w:rFonts w:cs="Arial"/>
          <w:spacing w:val="-2"/>
          <w:sz w:val="20"/>
        </w:rPr>
        <w:t xml:space="preserve"> is a </w:t>
      </w:r>
      <w:r w:rsidR="007F270A">
        <w:rPr>
          <w:rFonts w:cs="Arial"/>
          <w:spacing w:val="-2"/>
          <w:sz w:val="20"/>
        </w:rPr>
        <w:t xml:space="preserve">high-level </w:t>
      </w:r>
      <w:r w:rsidR="00A132B3">
        <w:rPr>
          <w:rFonts w:cs="Arial"/>
          <w:spacing w:val="-2"/>
          <w:sz w:val="20"/>
        </w:rPr>
        <w:t>review</w:t>
      </w:r>
      <w:r w:rsidR="00C87FC5">
        <w:rPr>
          <w:rFonts w:cs="Arial"/>
          <w:spacing w:val="-2"/>
          <w:sz w:val="20"/>
        </w:rPr>
        <w:t xml:space="preserve"> to provide assurance to the </w:t>
      </w:r>
      <w:r w:rsidR="007F270A">
        <w:rPr>
          <w:rFonts w:cs="Arial"/>
          <w:spacing w:val="-2"/>
          <w:sz w:val="20"/>
        </w:rPr>
        <w:t xml:space="preserve">City Region Deal </w:t>
      </w:r>
      <w:r w:rsidR="00C87FC5">
        <w:rPr>
          <w:rFonts w:cs="Arial"/>
          <w:spacing w:val="-2"/>
          <w:sz w:val="20"/>
        </w:rPr>
        <w:t xml:space="preserve">Joint Committee on arrangements and controls that </w:t>
      </w:r>
      <w:r w:rsidR="008512CB">
        <w:rPr>
          <w:rFonts w:cs="Arial"/>
          <w:spacing w:val="-2"/>
          <w:sz w:val="20"/>
        </w:rPr>
        <w:t xml:space="preserve">operate at, or </w:t>
      </w:r>
      <w:r w:rsidR="007F270A">
        <w:rPr>
          <w:rFonts w:cs="Arial"/>
          <w:spacing w:val="-2"/>
          <w:sz w:val="20"/>
        </w:rPr>
        <w:t xml:space="preserve">may </w:t>
      </w:r>
      <w:r w:rsidR="00C87FC5">
        <w:rPr>
          <w:rFonts w:cs="Arial"/>
          <w:spacing w:val="-2"/>
          <w:sz w:val="20"/>
        </w:rPr>
        <w:t>impact upon</w:t>
      </w:r>
      <w:r w:rsidR="007F270A">
        <w:rPr>
          <w:rFonts w:cs="Arial"/>
          <w:spacing w:val="-2"/>
          <w:sz w:val="20"/>
        </w:rPr>
        <w:t>,</w:t>
      </w:r>
      <w:r w:rsidR="00C87FC5">
        <w:rPr>
          <w:rFonts w:cs="Arial"/>
          <w:spacing w:val="-2"/>
          <w:sz w:val="20"/>
        </w:rPr>
        <w:t xml:space="preserve"> the City Region Deal at the </w:t>
      </w:r>
      <w:r w:rsidR="007F270A">
        <w:rPr>
          <w:rFonts w:cs="Arial"/>
          <w:spacing w:val="-2"/>
          <w:sz w:val="20"/>
        </w:rPr>
        <w:t xml:space="preserve">overall </w:t>
      </w:r>
      <w:r w:rsidR="00C87FC5">
        <w:rPr>
          <w:rFonts w:cs="Arial"/>
          <w:spacing w:val="-2"/>
          <w:sz w:val="20"/>
        </w:rPr>
        <w:t>partnership level.</w:t>
      </w:r>
      <w:r w:rsidR="007F270A">
        <w:rPr>
          <w:rFonts w:cs="Arial"/>
          <w:spacing w:val="-2"/>
          <w:sz w:val="20"/>
        </w:rPr>
        <w:t xml:space="preserve"> Our audit report and assurance will also be of interest and relevance to </w:t>
      </w:r>
      <w:r w:rsidR="00706DD1">
        <w:rPr>
          <w:rFonts w:cs="Arial"/>
          <w:spacing w:val="-2"/>
          <w:sz w:val="20"/>
        </w:rPr>
        <w:t xml:space="preserve">the Audit Committee of Stirling Council </w:t>
      </w:r>
      <w:r w:rsidR="007F270A">
        <w:rPr>
          <w:rFonts w:cs="Arial"/>
          <w:spacing w:val="-2"/>
          <w:sz w:val="20"/>
        </w:rPr>
        <w:t xml:space="preserve">and </w:t>
      </w:r>
      <w:r w:rsidR="00706DD1">
        <w:rPr>
          <w:rFonts w:cs="Arial"/>
          <w:spacing w:val="-2"/>
          <w:sz w:val="20"/>
        </w:rPr>
        <w:t xml:space="preserve">to the Scrutiny and </w:t>
      </w:r>
      <w:r w:rsidR="007F270A">
        <w:rPr>
          <w:rFonts w:cs="Arial"/>
          <w:spacing w:val="-2"/>
          <w:sz w:val="20"/>
        </w:rPr>
        <w:t>Audit Com</w:t>
      </w:r>
      <w:r w:rsidR="00706DD1">
        <w:rPr>
          <w:rFonts w:cs="Arial"/>
          <w:spacing w:val="-2"/>
          <w:sz w:val="20"/>
        </w:rPr>
        <w:t>mittee of Clackmannanshire Council</w:t>
      </w:r>
      <w:r w:rsidR="007F270A">
        <w:rPr>
          <w:rFonts w:cs="Arial"/>
          <w:spacing w:val="-2"/>
          <w:sz w:val="20"/>
        </w:rPr>
        <w:t>.</w:t>
      </w:r>
    </w:p>
    <w:p w14:paraId="38074E24" w14:textId="77777777" w:rsidR="00C87FC5" w:rsidRDefault="00C87FC5" w:rsidP="11F89680">
      <w:pPr>
        <w:spacing w:after="0"/>
        <w:rPr>
          <w:rFonts w:cs="Arial"/>
          <w:spacing w:val="-2"/>
          <w:sz w:val="20"/>
        </w:rPr>
      </w:pPr>
    </w:p>
    <w:p w14:paraId="0B4D8A48" w14:textId="77777777" w:rsidR="00A132B3" w:rsidRDefault="00C87FC5" w:rsidP="11F89680">
      <w:pPr>
        <w:spacing w:after="0"/>
        <w:rPr>
          <w:rFonts w:cs="Arial"/>
          <w:spacing w:val="-2"/>
          <w:sz w:val="20"/>
        </w:rPr>
      </w:pPr>
      <w:r>
        <w:rPr>
          <w:rFonts w:cs="Arial"/>
          <w:spacing w:val="-2"/>
          <w:sz w:val="20"/>
        </w:rPr>
        <w:t xml:space="preserve">We note that a separate Internal Audit Plan is in place </w:t>
      </w:r>
      <w:r w:rsidR="007F270A">
        <w:rPr>
          <w:rFonts w:cs="Arial"/>
          <w:spacing w:val="-2"/>
          <w:sz w:val="20"/>
        </w:rPr>
        <w:t xml:space="preserve">to </w:t>
      </w:r>
      <w:r>
        <w:rPr>
          <w:rFonts w:cs="Arial"/>
          <w:spacing w:val="-2"/>
          <w:sz w:val="20"/>
        </w:rPr>
        <w:t>review arrangements at individual partner level and that those review</w:t>
      </w:r>
      <w:r w:rsidR="007F270A">
        <w:rPr>
          <w:rFonts w:cs="Arial"/>
          <w:spacing w:val="-2"/>
          <w:sz w:val="20"/>
        </w:rPr>
        <w:t>s</w:t>
      </w:r>
      <w:r>
        <w:rPr>
          <w:rFonts w:cs="Arial"/>
          <w:spacing w:val="-2"/>
          <w:sz w:val="20"/>
        </w:rPr>
        <w:t xml:space="preserve"> have been, or will be, undertaken and reported in line with the provisions of that Plan</w:t>
      </w:r>
      <w:r w:rsidR="00A132B3">
        <w:rPr>
          <w:rFonts w:cs="Arial"/>
          <w:spacing w:val="-2"/>
          <w:sz w:val="20"/>
        </w:rPr>
        <w:t>.</w:t>
      </w:r>
    </w:p>
    <w:p w14:paraId="38BE9F68" w14:textId="77777777" w:rsidR="00C87FC5" w:rsidRPr="00B35D30" w:rsidRDefault="00C87FC5" w:rsidP="00A01B18">
      <w:pPr>
        <w:spacing w:before="360"/>
        <w:rPr>
          <w:rFonts w:cs="Arial"/>
          <w:b/>
          <w:spacing w:val="-2"/>
          <w:sz w:val="20"/>
        </w:rPr>
      </w:pPr>
      <w:r w:rsidRPr="00B35D30">
        <w:rPr>
          <w:rFonts w:cs="Arial"/>
          <w:b/>
          <w:spacing w:val="-2"/>
          <w:sz w:val="20"/>
        </w:rPr>
        <w:t>Assurance Objectives</w:t>
      </w:r>
    </w:p>
    <w:p w14:paraId="03F63BEA" w14:textId="77777777" w:rsidR="00555119" w:rsidRDefault="007E6DF8" w:rsidP="11F89680">
      <w:pPr>
        <w:spacing w:after="0"/>
        <w:rPr>
          <w:rFonts w:cs="Arial"/>
          <w:sz w:val="20"/>
        </w:rPr>
      </w:pPr>
      <w:r w:rsidRPr="11F89680">
        <w:rPr>
          <w:rFonts w:cs="Arial"/>
          <w:color w:val="000000" w:themeColor="text1"/>
          <w:sz w:val="20"/>
          <w:lang w:val="en-US"/>
        </w:rPr>
        <w:t xml:space="preserve">We will develop </w:t>
      </w:r>
      <w:r w:rsidR="007F270A">
        <w:rPr>
          <w:rFonts w:cs="Arial"/>
          <w:color w:val="000000" w:themeColor="text1"/>
          <w:sz w:val="20"/>
          <w:lang w:val="en-US"/>
        </w:rPr>
        <w:t>a</w:t>
      </w:r>
      <w:r w:rsidRPr="11F89680">
        <w:rPr>
          <w:rFonts w:cs="Arial"/>
          <w:color w:val="000000" w:themeColor="text1"/>
          <w:sz w:val="20"/>
          <w:lang w:val="en-US"/>
        </w:rPr>
        <w:t xml:space="preserve"> </w:t>
      </w:r>
      <w:r w:rsidR="007F270A">
        <w:rPr>
          <w:rFonts w:cs="Arial"/>
          <w:color w:val="000000" w:themeColor="text1"/>
          <w:sz w:val="20"/>
          <w:lang w:val="en-US"/>
        </w:rPr>
        <w:t xml:space="preserve">plan and programme of </w:t>
      </w:r>
      <w:r w:rsidRPr="11F89680">
        <w:rPr>
          <w:rFonts w:cs="Arial"/>
          <w:color w:val="000000" w:themeColor="text1"/>
          <w:sz w:val="20"/>
          <w:lang w:val="en-US"/>
        </w:rPr>
        <w:t xml:space="preserve">work to allow us to provide independent assurance </w:t>
      </w:r>
      <w:r w:rsidR="00C20E48" w:rsidRPr="11F89680">
        <w:rPr>
          <w:rFonts w:cs="Arial"/>
          <w:color w:val="000000" w:themeColor="text1"/>
          <w:sz w:val="20"/>
          <w:lang w:val="en-US"/>
        </w:rPr>
        <w:t xml:space="preserve">on </w:t>
      </w:r>
      <w:r w:rsidR="00C87FC5">
        <w:rPr>
          <w:rFonts w:cs="Arial"/>
          <w:spacing w:val="-2"/>
          <w:sz w:val="20"/>
        </w:rPr>
        <w:t>specified governance, risk management and financial control arrangements for the Clackmannanshire and Stirling City Region Deal, which will include:</w:t>
      </w:r>
      <w:r w:rsidR="00675985" w:rsidRPr="11F89680">
        <w:rPr>
          <w:rFonts w:cs="Arial"/>
          <w:sz w:val="20"/>
        </w:rPr>
        <w:t xml:space="preserve"> </w:t>
      </w:r>
    </w:p>
    <w:p w14:paraId="18653F66" w14:textId="77777777" w:rsidR="00555119" w:rsidRDefault="00555119" w:rsidP="11F89680">
      <w:pPr>
        <w:spacing w:after="0"/>
        <w:rPr>
          <w:rFonts w:cs="Arial"/>
          <w:sz w:val="20"/>
        </w:rPr>
      </w:pPr>
    </w:p>
    <w:p w14:paraId="7F3DF927" w14:textId="77777777" w:rsidR="001233D1" w:rsidRPr="004A299B" w:rsidRDefault="00C87FC5" w:rsidP="11F89680">
      <w:pPr>
        <w:numPr>
          <w:ilvl w:val="0"/>
          <w:numId w:val="1"/>
        </w:numPr>
        <w:ind w:left="527" w:hanging="527"/>
        <w:rPr>
          <w:rFonts w:cs="Arial"/>
          <w:spacing w:val="-2"/>
          <w:sz w:val="20"/>
        </w:rPr>
      </w:pPr>
      <w:bookmarkStart w:id="0" w:name="RemitItems"/>
      <w:r w:rsidRPr="004A299B">
        <w:rPr>
          <w:rFonts w:cs="Arial"/>
          <w:spacing w:val="-2"/>
          <w:sz w:val="20"/>
        </w:rPr>
        <w:t xml:space="preserve">the arrangements for </w:t>
      </w:r>
      <w:r w:rsidR="007F270A" w:rsidRPr="004A299B">
        <w:rPr>
          <w:rFonts w:cs="Arial"/>
          <w:spacing w:val="-2"/>
          <w:sz w:val="20"/>
        </w:rPr>
        <w:t xml:space="preserve">provision of </w:t>
      </w:r>
      <w:r w:rsidRPr="004A299B">
        <w:rPr>
          <w:rFonts w:cs="Arial"/>
          <w:spacing w:val="-2"/>
          <w:sz w:val="20"/>
        </w:rPr>
        <w:t>strategic direction and decision-making through the operation of the City Region Deal Joint Committee</w:t>
      </w:r>
      <w:r w:rsidR="008C5D3B" w:rsidRPr="004A299B">
        <w:rPr>
          <w:rFonts w:cs="Arial"/>
          <w:spacing w:val="-2"/>
          <w:sz w:val="20"/>
        </w:rPr>
        <w:t xml:space="preserve"> (‘the Joint Committee’)</w:t>
      </w:r>
      <w:r w:rsidR="001233D1" w:rsidRPr="004A299B">
        <w:rPr>
          <w:rFonts w:cs="Arial"/>
          <w:spacing w:val="-2"/>
          <w:sz w:val="20"/>
        </w:rPr>
        <w:t>;</w:t>
      </w:r>
    </w:p>
    <w:p w14:paraId="078C49DA" w14:textId="77777777" w:rsidR="00426FA9" w:rsidRPr="004A299B" w:rsidRDefault="00C87FC5" w:rsidP="11F89680">
      <w:pPr>
        <w:numPr>
          <w:ilvl w:val="0"/>
          <w:numId w:val="1"/>
        </w:numPr>
        <w:ind w:left="527" w:hanging="527"/>
        <w:rPr>
          <w:rFonts w:cs="Arial"/>
          <w:spacing w:val="-2"/>
          <w:sz w:val="20"/>
        </w:rPr>
      </w:pPr>
      <w:r w:rsidRPr="004A299B">
        <w:rPr>
          <w:rFonts w:cs="Arial"/>
          <w:spacing w:val="-2"/>
          <w:sz w:val="20"/>
        </w:rPr>
        <w:t xml:space="preserve">the governance framework </w:t>
      </w:r>
      <w:r w:rsidR="00434D9C" w:rsidRPr="004A299B">
        <w:rPr>
          <w:rFonts w:cs="Arial"/>
          <w:spacing w:val="-2"/>
          <w:sz w:val="20"/>
        </w:rPr>
        <w:t xml:space="preserve">and </w:t>
      </w:r>
      <w:r w:rsidR="008C5D3B" w:rsidRPr="004A299B">
        <w:rPr>
          <w:rFonts w:cs="Arial"/>
          <w:spacing w:val="-2"/>
          <w:sz w:val="20"/>
        </w:rPr>
        <w:t xml:space="preserve">support </w:t>
      </w:r>
      <w:r w:rsidR="00434D9C" w:rsidRPr="004A299B">
        <w:rPr>
          <w:rFonts w:cs="Arial"/>
          <w:spacing w:val="-2"/>
          <w:sz w:val="20"/>
        </w:rPr>
        <w:t xml:space="preserve">arrangements in place for </w:t>
      </w:r>
      <w:r w:rsidR="008C5D3B" w:rsidRPr="004A299B">
        <w:rPr>
          <w:rFonts w:cs="Arial"/>
          <w:spacing w:val="-2"/>
          <w:sz w:val="20"/>
        </w:rPr>
        <w:t>the Joint Committee</w:t>
      </w:r>
      <w:r w:rsidR="00434D9C" w:rsidRPr="004A299B">
        <w:rPr>
          <w:rFonts w:cs="Arial"/>
          <w:spacing w:val="-2"/>
          <w:sz w:val="20"/>
        </w:rPr>
        <w:t xml:space="preserve">, including the Regional Programme Management Office and relevant </w:t>
      </w:r>
      <w:r w:rsidR="007F270A" w:rsidRPr="004A299B">
        <w:rPr>
          <w:rFonts w:cs="Arial"/>
          <w:spacing w:val="-2"/>
          <w:sz w:val="20"/>
        </w:rPr>
        <w:t xml:space="preserve">supporting or </w:t>
      </w:r>
      <w:r w:rsidR="00434D9C" w:rsidRPr="004A299B">
        <w:rPr>
          <w:rFonts w:cs="Arial"/>
          <w:spacing w:val="-2"/>
          <w:sz w:val="20"/>
        </w:rPr>
        <w:t>advisory groups</w:t>
      </w:r>
      <w:r w:rsidRPr="004A299B">
        <w:rPr>
          <w:rFonts w:cs="Arial"/>
          <w:spacing w:val="-2"/>
          <w:sz w:val="20"/>
        </w:rPr>
        <w:t>;</w:t>
      </w:r>
    </w:p>
    <w:p w14:paraId="2BF9ED43" w14:textId="69E954ED" w:rsidR="00E92135" w:rsidRPr="004A299B" w:rsidRDefault="00C87FC5" w:rsidP="001233D1">
      <w:pPr>
        <w:numPr>
          <w:ilvl w:val="0"/>
          <w:numId w:val="1"/>
        </w:numPr>
        <w:ind w:left="527" w:hanging="527"/>
        <w:rPr>
          <w:rFonts w:cs="Arial"/>
          <w:spacing w:val="-2"/>
          <w:sz w:val="20"/>
        </w:rPr>
      </w:pPr>
      <w:r w:rsidRPr="004A299B">
        <w:rPr>
          <w:rFonts w:cs="Arial"/>
          <w:sz w:val="20"/>
        </w:rPr>
        <w:t xml:space="preserve">the </w:t>
      </w:r>
      <w:r w:rsidR="00434D9C" w:rsidRPr="004A299B">
        <w:rPr>
          <w:rFonts w:cs="Arial"/>
          <w:sz w:val="20"/>
        </w:rPr>
        <w:t xml:space="preserve">risk management </w:t>
      </w:r>
      <w:r w:rsidRPr="004A299B">
        <w:rPr>
          <w:rFonts w:cs="Arial"/>
          <w:sz w:val="20"/>
        </w:rPr>
        <w:t xml:space="preserve">arrangements </w:t>
      </w:r>
      <w:r w:rsidR="00434D9C" w:rsidRPr="004A299B">
        <w:rPr>
          <w:rFonts w:cs="Arial"/>
          <w:sz w:val="20"/>
        </w:rPr>
        <w:t>that identify and manage</w:t>
      </w:r>
      <w:r w:rsidR="008C5D3B" w:rsidRPr="004A299B">
        <w:rPr>
          <w:rFonts w:cs="Arial"/>
          <w:sz w:val="20"/>
        </w:rPr>
        <w:t xml:space="preserve"> key strategic and /or operational risks, issues and opportunities to the City Region Deal </w:t>
      </w:r>
      <w:r w:rsidR="00706DD1">
        <w:rPr>
          <w:rFonts w:cs="Arial"/>
          <w:sz w:val="20"/>
        </w:rPr>
        <w:t xml:space="preserve">(‘the Deal’) </w:t>
      </w:r>
      <w:r w:rsidR="00434D9C" w:rsidRPr="004A299B">
        <w:rPr>
          <w:rFonts w:cs="Arial"/>
          <w:sz w:val="20"/>
        </w:rPr>
        <w:t xml:space="preserve">and its various </w:t>
      </w:r>
      <w:r w:rsidR="008C5D3B" w:rsidRPr="004A299B">
        <w:rPr>
          <w:rFonts w:cs="Arial"/>
          <w:sz w:val="20"/>
        </w:rPr>
        <w:t>projects</w:t>
      </w:r>
      <w:r w:rsidR="008E59C3" w:rsidRPr="004A299B">
        <w:rPr>
          <w:rFonts w:cs="Arial"/>
          <w:sz w:val="20"/>
        </w:rPr>
        <w:t>;</w:t>
      </w:r>
    </w:p>
    <w:p w14:paraId="2E0FFE9B" w14:textId="624B2705" w:rsidR="00434D9C" w:rsidRPr="004A299B" w:rsidRDefault="00434D9C" w:rsidP="00E53510">
      <w:pPr>
        <w:numPr>
          <w:ilvl w:val="0"/>
          <w:numId w:val="1"/>
        </w:numPr>
        <w:ind w:left="527" w:hanging="527"/>
        <w:rPr>
          <w:rFonts w:cs="Arial"/>
          <w:spacing w:val="-2"/>
          <w:sz w:val="20"/>
        </w:rPr>
      </w:pPr>
      <w:r w:rsidRPr="004A299B">
        <w:rPr>
          <w:rFonts w:cs="Arial"/>
          <w:spacing w:val="-2"/>
          <w:sz w:val="20"/>
        </w:rPr>
        <w:t>the arrangements and processes in place ensure</w:t>
      </w:r>
      <w:r w:rsidR="00422806" w:rsidRPr="004A299B">
        <w:rPr>
          <w:rFonts w:cs="Arial"/>
          <w:spacing w:val="-2"/>
          <w:sz w:val="20"/>
        </w:rPr>
        <w:t xml:space="preserve"> that</w:t>
      </w:r>
      <w:r w:rsidRPr="004A299B">
        <w:rPr>
          <w:rFonts w:cs="Arial"/>
          <w:spacing w:val="-2"/>
          <w:sz w:val="20"/>
        </w:rPr>
        <w:t xml:space="preserve"> </w:t>
      </w:r>
      <w:r w:rsidR="008C5D3B" w:rsidRPr="004A299B">
        <w:rPr>
          <w:rFonts w:cs="Arial"/>
          <w:spacing w:val="-2"/>
          <w:sz w:val="20"/>
        </w:rPr>
        <w:t xml:space="preserve">grant claims </w:t>
      </w:r>
      <w:r w:rsidRPr="004A299B">
        <w:rPr>
          <w:rFonts w:cs="Arial"/>
          <w:spacing w:val="-2"/>
          <w:sz w:val="20"/>
        </w:rPr>
        <w:t>submitted to the UK and/or Scottish Governments</w:t>
      </w:r>
      <w:r w:rsidR="00422806" w:rsidRPr="004A299B">
        <w:rPr>
          <w:rFonts w:cs="Arial"/>
          <w:spacing w:val="-2"/>
          <w:sz w:val="20"/>
        </w:rPr>
        <w:t xml:space="preserve"> comply with grant offer terms and conditions</w:t>
      </w:r>
      <w:r w:rsidRPr="004A299B">
        <w:rPr>
          <w:rFonts w:cs="Arial"/>
          <w:spacing w:val="-2"/>
          <w:sz w:val="20"/>
        </w:rPr>
        <w:t xml:space="preserve">, and </w:t>
      </w:r>
      <w:r w:rsidR="00422806" w:rsidRPr="004A299B">
        <w:rPr>
          <w:rFonts w:cs="Arial"/>
          <w:spacing w:val="-2"/>
          <w:sz w:val="20"/>
        </w:rPr>
        <w:t xml:space="preserve">that </w:t>
      </w:r>
      <w:r w:rsidRPr="004A299B">
        <w:rPr>
          <w:rFonts w:cs="Arial"/>
          <w:spacing w:val="-2"/>
          <w:sz w:val="20"/>
        </w:rPr>
        <w:t xml:space="preserve">the distribution of funding </w:t>
      </w:r>
      <w:r w:rsidR="000D1BB4" w:rsidRPr="004A299B">
        <w:rPr>
          <w:rFonts w:cs="Arial"/>
          <w:spacing w:val="-2"/>
          <w:sz w:val="20"/>
        </w:rPr>
        <w:t xml:space="preserve">payments </w:t>
      </w:r>
      <w:r w:rsidR="00422806" w:rsidRPr="004A299B">
        <w:rPr>
          <w:rFonts w:cs="Arial"/>
          <w:spacing w:val="-2"/>
          <w:sz w:val="20"/>
        </w:rPr>
        <w:t xml:space="preserve">to </w:t>
      </w:r>
      <w:r w:rsidRPr="004A299B">
        <w:rPr>
          <w:rFonts w:cs="Arial"/>
          <w:spacing w:val="-2"/>
          <w:sz w:val="20"/>
        </w:rPr>
        <w:t xml:space="preserve">partners </w:t>
      </w:r>
      <w:r w:rsidR="00422806" w:rsidRPr="004A299B">
        <w:rPr>
          <w:rFonts w:cs="Arial"/>
          <w:spacing w:val="-2"/>
          <w:sz w:val="20"/>
        </w:rPr>
        <w:t xml:space="preserve">by </w:t>
      </w:r>
      <w:r w:rsidRPr="004A299B">
        <w:rPr>
          <w:rFonts w:cs="Arial"/>
          <w:spacing w:val="-2"/>
          <w:sz w:val="20"/>
        </w:rPr>
        <w:t>the Council (</w:t>
      </w:r>
      <w:r w:rsidR="000D1BB4" w:rsidRPr="004A299B">
        <w:rPr>
          <w:rFonts w:cs="Arial"/>
          <w:spacing w:val="-2"/>
          <w:sz w:val="20"/>
        </w:rPr>
        <w:t xml:space="preserve">as </w:t>
      </w:r>
      <w:r w:rsidRPr="004A299B">
        <w:rPr>
          <w:rFonts w:cs="Arial"/>
          <w:spacing w:val="-2"/>
          <w:sz w:val="20"/>
        </w:rPr>
        <w:t xml:space="preserve">the </w:t>
      </w:r>
      <w:r w:rsidR="00706DD1">
        <w:rPr>
          <w:rFonts w:cs="Arial"/>
          <w:spacing w:val="-2"/>
          <w:sz w:val="20"/>
        </w:rPr>
        <w:t>‘</w:t>
      </w:r>
      <w:r w:rsidRPr="004A299B">
        <w:rPr>
          <w:rFonts w:cs="Arial"/>
          <w:spacing w:val="-2"/>
          <w:sz w:val="20"/>
        </w:rPr>
        <w:t xml:space="preserve">Accountable Body’) </w:t>
      </w:r>
      <w:r w:rsidR="00422806" w:rsidRPr="004A299B">
        <w:rPr>
          <w:rFonts w:cs="Arial"/>
          <w:spacing w:val="-2"/>
          <w:sz w:val="20"/>
        </w:rPr>
        <w:t xml:space="preserve">is accurate, </w:t>
      </w:r>
      <w:r w:rsidR="000D1BB4" w:rsidRPr="004A299B">
        <w:rPr>
          <w:rFonts w:cs="Arial"/>
          <w:spacing w:val="-2"/>
          <w:sz w:val="20"/>
        </w:rPr>
        <w:t xml:space="preserve">timely and efficient; and </w:t>
      </w:r>
    </w:p>
    <w:p w14:paraId="36A73CED" w14:textId="218026DC" w:rsidR="00F221C4" w:rsidRPr="004A299B" w:rsidRDefault="00434D9C" w:rsidP="00E53510">
      <w:pPr>
        <w:numPr>
          <w:ilvl w:val="0"/>
          <w:numId w:val="1"/>
        </w:numPr>
        <w:ind w:left="527" w:hanging="527"/>
        <w:rPr>
          <w:rFonts w:cs="Arial"/>
          <w:spacing w:val="-2"/>
          <w:sz w:val="20"/>
        </w:rPr>
      </w:pPr>
      <w:proofErr w:type="gramStart"/>
      <w:r w:rsidRPr="004A299B">
        <w:rPr>
          <w:rFonts w:cs="Arial"/>
          <w:spacing w:val="-2"/>
          <w:sz w:val="20"/>
        </w:rPr>
        <w:t>the</w:t>
      </w:r>
      <w:proofErr w:type="gramEnd"/>
      <w:r w:rsidRPr="004A299B">
        <w:rPr>
          <w:rFonts w:cs="Arial"/>
          <w:spacing w:val="-2"/>
          <w:sz w:val="20"/>
        </w:rPr>
        <w:t xml:space="preserve"> arrangements </w:t>
      </w:r>
      <w:r w:rsidR="000D1BB4" w:rsidRPr="004A299B">
        <w:rPr>
          <w:rFonts w:cs="Arial"/>
          <w:spacing w:val="-2"/>
          <w:sz w:val="20"/>
        </w:rPr>
        <w:t xml:space="preserve">for reporting on progress of the Deal and projects to the UK and/or Scottish Governments, including </w:t>
      </w:r>
      <w:r w:rsidR="00422806" w:rsidRPr="004A299B">
        <w:rPr>
          <w:rFonts w:cs="Arial"/>
          <w:spacing w:val="-2"/>
          <w:sz w:val="20"/>
        </w:rPr>
        <w:t xml:space="preserve">Annual Implementation Plans and </w:t>
      </w:r>
      <w:r w:rsidR="000D1BB4" w:rsidRPr="004A299B">
        <w:rPr>
          <w:rFonts w:cs="Arial"/>
          <w:spacing w:val="-2"/>
          <w:sz w:val="20"/>
        </w:rPr>
        <w:t xml:space="preserve">the Annual </w:t>
      </w:r>
      <w:r w:rsidR="004A299B" w:rsidRPr="004A299B">
        <w:rPr>
          <w:rFonts w:cs="Arial"/>
          <w:spacing w:val="-2"/>
          <w:sz w:val="20"/>
        </w:rPr>
        <w:t xml:space="preserve">Report and Annual </w:t>
      </w:r>
      <w:r w:rsidR="000D1BB4" w:rsidRPr="004A299B">
        <w:rPr>
          <w:rFonts w:cs="Arial"/>
          <w:spacing w:val="-2"/>
          <w:sz w:val="20"/>
        </w:rPr>
        <w:t xml:space="preserve">Conversation, are appropriate, </w:t>
      </w:r>
      <w:r w:rsidR="00422806" w:rsidRPr="004A299B">
        <w:rPr>
          <w:rFonts w:cs="Arial"/>
          <w:spacing w:val="-2"/>
          <w:sz w:val="20"/>
        </w:rPr>
        <w:t>timely and comprehensive</w:t>
      </w:r>
      <w:r w:rsidR="004442E2">
        <w:rPr>
          <w:rFonts w:cs="Arial"/>
          <w:spacing w:val="-2"/>
          <w:sz w:val="20"/>
        </w:rPr>
        <w:t>.</w:t>
      </w:r>
      <w:bookmarkStart w:id="1" w:name="_GoBack"/>
      <w:bookmarkEnd w:id="1"/>
    </w:p>
    <w:p w14:paraId="48D927EA" w14:textId="77777777" w:rsidR="00E53510" w:rsidRPr="00E53510" w:rsidRDefault="00E53510" w:rsidP="00E53510">
      <w:pPr>
        <w:rPr>
          <w:rFonts w:cs="Arial"/>
          <w:spacing w:val="-2"/>
          <w:sz w:val="20"/>
        </w:rPr>
      </w:pPr>
    </w:p>
    <w:bookmarkEnd w:id="0"/>
    <w:p w14:paraId="4DDD115A" w14:textId="77777777" w:rsidR="00F221C4" w:rsidRPr="0052705E" w:rsidRDefault="00F221C4" w:rsidP="006F6086">
      <w:pPr>
        <w:rPr>
          <w:rFonts w:cs="Arial"/>
          <w:spacing w:val="-2"/>
          <w:sz w:val="20"/>
        </w:rPr>
      </w:pPr>
    </w:p>
    <w:sectPr w:rsidR="00F221C4" w:rsidRPr="0052705E" w:rsidSect="008B189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4"/>
      <w:pgMar w:top="567" w:right="1134" w:bottom="567" w:left="1134"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34A67" w14:textId="77777777" w:rsidR="00B504AA" w:rsidRDefault="00B504AA">
      <w:pPr>
        <w:spacing w:after="0"/>
      </w:pPr>
      <w:r>
        <w:separator/>
      </w:r>
    </w:p>
  </w:endnote>
  <w:endnote w:type="continuationSeparator" w:id="0">
    <w:p w14:paraId="2FB8C04E" w14:textId="77777777" w:rsidR="00B504AA" w:rsidRDefault="00B504AA">
      <w:pPr>
        <w:spacing w:after="0"/>
      </w:pPr>
      <w:r>
        <w:continuationSeparator/>
      </w:r>
    </w:p>
  </w:endnote>
  <w:endnote w:type="continuationNotice" w:id="1">
    <w:p w14:paraId="344E5D46" w14:textId="77777777" w:rsidR="00B504AA" w:rsidRDefault="00B50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38C1" w14:textId="77777777" w:rsidR="00177AB3" w:rsidRDefault="00CA7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42466" w14:textId="77777777" w:rsidR="00177AB3" w:rsidRDefault="0017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C80C" w14:textId="77777777" w:rsidR="00177AB3" w:rsidRPr="00D01CB8" w:rsidRDefault="00177AB3">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C25C" w14:textId="77777777" w:rsidR="00FD1161" w:rsidRDefault="00FD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2D95A" w14:textId="77777777" w:rsidR="00B504AA" w:rsidRDefault="00B504AA">
      <w:pPr>
        <w:spacing w:after="0"/>
      </w:pPr>
      <w:r>
        <w:separator/>
      </w:r>
    </w:p>
  </w:footnote>
  <w:footnote w:type="continuationSeparator" w:id="0">
    <w:p w14:paraId="75299916" w14:textId="77777777" w:rsidR="00B504AA" w:rsidRDefault="00B504AA">
      <w:pPr>
        <w:spacing w:after="0"/>
      </w:pPr>
      <w:r>
        <w:continuationSeparator/>
      </w:r>
    </w:p>
  </w:footnote>
  <w:footnote w:type="continuationNotice" w:id="1">
    <w:p w14:paraId="332E6C35" w14:textId="77777777" w:rsidR="00B504AA" w:rsidRDefault="00B504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94D7" w14:textId="77777777" w:rsidR="00FD1161" w:rsidRDefault="00FD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14878189" w14:paraId="21584A51" w14:textId="77777777" w:rsidTr="14878189">
      <w:trPr>
        <w:trHeight w:val="300"/>
      </w:trPr>
      <w:tc>
        <w:tcPr>
          <w:tcW w:w="3210" w:type="dxa"/>
        </w:tcPr>
        <w:p w14:paraId="3A6CEFCE" w14:textId="77777777" w:rsidR="14878189" w:rsidRDefault="14878189" w:rsidP="14878189">
          <w:pPr>
            <w:pStyle w:val="Header"/>
            <w:ind w:left="-115"/>
          </w:pPr>
        </w:p>
      </w:tc>
      <w:tc>
        <w:tcPr>
          <w:tcW w:w="3210" w:type="dxa"/>
        </w:tcPr>
        <w:p w14:paraId="00388935" w14:textId="77777777" w:rsidR="14878189" w:rsidRDefault="14878189" w:rsidP="14878189">
          <w:pPr>
            <w:pStyle w:val="Header"/>
            <w:jc w:val="center"/>
          </w:pPr>
        </w:p>
      </w:tc>
      <w:tc>
        <w:tcPr>
          <w:tcW w:w="3210" w:type="dxa"/>
        </w:tcPr>
        <w:p w14:paraId="13F461CA" w14:textId="77777777" w:rsidR="14878189" w:rsidRDefault="14878189" w:rsidP="14878189">
          <w:pPr>
            <w:pStyle w:val="Header"/>
            <w:ind w:right="-115"/>
            <w:jc w:val="right"/>
          </w:pPr>
        </w:p>
      </w:tc>
    </w:tr>
  </w:tbl>
  <w:sdt>
    <w:sdtPr>
      <w:id w:val="-1970038359"/>
      <w:docPartObj>
        <w:docPartGallery w:val="Watermarks"/>
        <w:docPartUnique/>
      </w:docPartObj>
    </w:sdtPr>
    <w:sdtEndPr/>
    <w:sdtContent>
      <w:p w14:paraId="5327D5A8" w14:textId="77777777" w:rsidR="14878189" w:rsidRDefault="004442E2" w:rsidP="14878189">
        <w:pPr>
          <w:pStyle w:val="Header"/>
        </w:pPr>
        <w:r>
          <w:pict w14:anchorId="503C8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68408" o:spid="_x0000_s2049"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48A3" w14:textId="77777777" w:rsidR="00FD1161" w:rsidRDefault="00FD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4740"/>
    <w:multiLevelType w:val="hybridMultilevel"/>
    <w:tmpl w:val="685C1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B0D4C4"/>
    <w:multiLevelType w:val="hybridMultilevel"/>
    <w:tmpl w:val="C2724758"/>
    <w:lvl w:ilvl="0" w:tplc="7464A3C6">
      <w:start w:val="1"/>
      <w:numFmt w:val="bullet"/>
      <w:lvlText w:val=""/>
      <w:lvlJc w:val="left"/>
      <w:pPr>
        <w:ind w:left="720" w:hanging="360"/>
      </w:pPr>
      <w:rPr>
        <w:rFonts w:ascii="Symbol" w:hAnsi="Symbol" w:hint="default"/>
      </w:rPr>
    </w:lvl>
    <w:lvl w:ilvl="1" w:tplc="6D2216CE">
      <w:start w:val="1"/>
      <w:numFmt w:val="bullet"/>
      <w:lvlText w:val="o"/>
      <w:lvlJc w:val="left"/>
      <w:pPr>
        <w:ind w:left="1440" w:hanging="360"/>
      </w:pPr>
      <w:rPr>
        <w:rFonts w:ascii="Courier New" w:hAnsi="Courier New" w:hint="default"/>
      </w:rPr>
    </w:lvl>
    <w:lvl w:ilvl="2" w:tplc="66064F94">
      <w:start w:val="1"/>
      <w:numFmt w:val="bullet"/>
      <w:lvlText w:val=""/>
      <w:lvlJc w:val="left"/>
      <w:pPr>
        <w:ind w:left="2160" w:hanging="360"/>
      </w:pPr>
      <w:rPr>
        <w:rFonts w:ascii="Wingdings" w:hAnsi="Wingdings" w:hint="default"/>
      </w:rPr>
    </w:lvl>
    <w:lvl w:ilvl="3" w:tplc="38848C14">
      <w:start w:val="1"/>
      <w:numFmt w:val="bullet"/>
      <w:lvlText w:val=""/>
      <w:lvlJc w:val="left"/>
      <w:pPr>
        <w:ind w:left="2880" w:hanging="360"/>
      </w:pPr>
      <w:rPr>
        <w:rFonts w:ascii="Symbol" w:hAnsi="Symbol" w:hint="default"/>
      </w:rPr>
    </w:lvl>
    <w:lvl w:ilvl="4" w:tplc="573AE4A4">
      <w:start w:val="1"/>
      <w:numFmt w:val="bullet"/>
      <w:lvlText w:val="o"/>
      <w:lvlJc w:val="left"/>
      <w:pPr>
        <w:ind w:left="3600" w:hanging="360"/>
      </w:pPr>
      <w:rPr>
        <w:rFonts w:ascii="Courier New" w:hAnsi="Courier New" w:hint="default"/>
      </w:rPr>
    </w:lvl>
    <w:lvl w:ilvl="5" w:tplc="1DFEF822">
      <w:start w:val="1"/>
      <w:numFmt w:val="bullet"/>
      <w:lvlText w:val=""/>
      <w:lvlJc w:val="left"/>
      <w:pPr>
        <w:ind w:left="4320" w:hanging="360"/>
      </w:pPr>
      <w:rPr>
        <w:rFonts w:ascii="Wingdings" w:hAnsi="Wingdings" w:hint="default"/>
      </w:rPr>
    </w:lvl>
    <w:lvl w:ilvl="6" w:tplc="F25E7EF6">
      <w:start w:val="1"/>
      <w:numFmt w:val="bullet"/>
      <w:lvlText w:val=""/>
      <w:lvlJc w:val="left"/>
      <w:pPr>
        <w:ind w:left="5040" w:hanging="360"/>
      </w:pPr>
      <w:rPr>
        <w:rFonts w:ascii="Symbol" w:hAnsi="Symbol" w:hint="default"/>
      </w:rPr>
    </w:lvl>
    <w:lvl w:ilvl="7" w:tplc="133432DC">
      <w:start w:val="1"/>
      <w:numFmt w:val="bullet"/>
      <w:lvlText w:val="o"/>
      <w:lvlJc w:val="left"/>
      <w:pPr>
        <w:ind w:left="5760" w:hanging="360"/>
      </w:pPr>
      <w:rPr>
        <w:rFonts w:ascii="Courier New" w:hAnsi="Courier New" w:hint="default"/>
      </w:rPr>
    </w:lvl>
    <w:lvl w:ilvl="8" w:tplc="972E2426">
      <w:start w:val="1"/>
      <w:numFmt w:val="bullet"/>
      <w:lvlText w:val=""/>
      <w:lvlJc w:val="left"/>
      <w:pPr>
        <w:ind w:left="6480" w:hanging="360"/>
      </w:pPr>
      <w:rPr>
        <w:rFonts w:ascii="Wingdings" w:hAnsi="Wingdings" w:hint="default"/>
      </w:rPr>
    </w:lvl>
  </w:abstractNum>
  <w:abstractNum w:abstractNumId="2" w15:restartNumberingAfterBreak="0">
    <w:nsid w:val="5B5E00DE"/>
    <w:multiLevelType w:val="hybridMultilevel"/>
    <w:tmpl w:val="C426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7548B"/>
    <w:multiLevelType w:val="hybridMultilevel"/>
    <w:tmpl w:val="07F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F0529"/>
    <w:multiLevelType w:val="hybridMultilevel"/>
    <w:tmpl w:val="2C528C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9111D0"/>
    <w:multiLevelType w:val="hybridMultilevel"/>
    <w:tmpl w:val="356AAB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E472AF"/>
    <w:multiLevelType w:val="hybridMultilevel"/>
    <w:tmpl w:val="2EEA46BE"/>
    <w:lvl w:ilvl="0" w:tplc="0809000F">
      <w:start w:val="1"/>
      <w:numFmt w:val="decimal"/>
      <w:lvlText w:val="%1."/>
      <w:lvlJc w:val="left"/>
      <w:pPr>
        <w:tabs>
          <w:tab w:val="num" w:pos="530"/>
        </w:tabs>
        <w:ind w:left="53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995621A6" w:tentative="1">
      <w:start w:val="1"/>
      <w:numFmt w:val="bullet"/>
      <w:lvlText w:val=""/>
      <w:lvlJc w:val="left"/>
      <w:pPr>
        <w:tabs>
          <w:tab w:val="num" w:pos="2160"/>
        </w:tabs>
        <w:ind w:left="2160" w:hanging="360"/>
      </w:pPr>
      <w:rPr>
        <w:rFonts w:ascii="Wingdings" w:hAnsi="Wingdings" w:hint="default"/>
      </w:rPr>
    </w:lvl>
    <w:lvl w:ilvl="3" w:tplc="214E19EE" w:tentative="1">
      <w:start w:val="1"/>
      <w:numFmt w:val="bullet"/>
      <w:lvlText w:val=""/>
      <w:lvlJc w:val="left"/>
      <w:pPr>
        <w:tabs>
          <w:tab w:val="num" w:pos="2880"/>
        </w:tabs>
        <w:ind w:left="2880" w:hanging="360"/>
      </w:pPr>
      <w:rPr>
        <w:rFonts w:ascii="Symbol" w:hAnsi="Symbol" w:hint="default"/>
      </w:rPr>
    </w:lvl>
    <w:lvl w:ilvl="4" w:tplc="0FC08846" w:tentative="1">
      <w:start w:val="1"/>
      <w:numFmt w:val="bullet"/>
      <w:lvlText w:val="o"/>
      <w:lvlJc w:val="left"/>
      <w:pPr>
        <w:tabs>
          <w:tab w:val="num" w:pos="3600"/>
        </w:tabs>
        <w:ind w:left="3600" w:hanging="360"/>
      </w:pPr>
      <w:rPr>
        <w:rFonts w:ascii="Courier New" w:hAnsi="Courier New" w:cs="Courier New" w:hint="default"/>
      </w:rPr>
    </w:lvl>
    <w:lvl w:ilvl="5" w:tplc="556C8376" w:tentative="1">
      <w:start w:val="1"/>
      <w:numFmt w:val="bullet"/>
      <w:lvlText w:val=""/>
      <w:lvlJc w:val="left"/>
      <w:pPr>
        <w:tabs>
          <w:tab w:val="num" w:pos="4320"/>
        </w:tabs>
        <w:ind w:left="4320" w:hanging="360"/>
      </w:pPr>
      <w:rPr>
        <w:rFonts w:ascii="Wingdings" w:hAnsi="Wingdings" w:hint="default"/>
      </w:rPr>
    </w:lvl>
    <w:lvl w:ilvl="6" w:tplc="AAF4D4F4" w:tentative="1">
      <w:start w:val="1"/>
      <w:numFmt w:val="bullet"/>
      <w:lvlText w:val=""/>
      <w:lvlJc w:val="left"/>
      <w:pPr>
        <w:tabs>
          <w:tab w:val="num" w:pos="5040"/>
        </w:tabs>
        <w:ind w:left="5040" w:hanging="360"/>
      </w:pPr>
      <w:rPr>
        <w:rFonts w:ascii="Symbol" w:hAnsi="Symbol" w:hint="default"/>
      </w:rPr>
    </w:lvl>
    <w:lvl w:ilvl="7" w:tplc="3EC8CB3E" w:tentative="1">
      <w:start w:val="1"/>
      <w:numFmt w:val="bullet"/>
      <w:lvlText w:val="o"/>
      <w:lvlJc w:val="left"/>
      <w:pPr>
        <w:tabs>
          <w:tab w:val="num" w:pos="5760"/>
        </w:tabs>
        <w:ind w:left="5760" w:hanging="360"/>
      </w:pPr>
      <w:rPr>
        <w:rFonts w:ascii="Courier New" w:hAnsi="Courier New" w:cs="Courier New" w:hint="default"/>
      </w:rPr>
    </w:lvl>
    <w:lvl w:ilvl="8" w:tplc="AAEA4E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BB3472"/>
    <w:multiLevelType w:val="hybridMultilevel"/>
    <w:tmpl w:val="4C5609F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07EB5"/>
    <w:multiLevelType w:val="hybridMultilevel"/>
    <w:tmpl w:val="E31671A4"/>
    <w:lvl w:ilvl="0" w:tplc="351A9D6C">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4"/>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AF"/>
    <w:rsid w:val="00004069"/>
    <w:rsid w:val="00005001"/>
    <w:rsid w:val="000110A2"/>
    <w:rsid w:val="00026048"/>
    <w:rsid w:val="000269A1"/>
    <w:rsid w:val="0003334C"/>
    <w:rsid w:val="00033EF1"/>
    <w:rsid w:val="00036B33"/>
    <w:rsid w:val="000406ED"/>
    <w:rsid w:val="00043732"/>
    <w:rsid w:val="00053718"/>
    <w:rsid w:val="000546C3"/>
    <w:rsid w:val="00063054"/>
    <w:rsid w:val="00066E2E"/>
    <w:rsid w:val="00076C9A"/>
    <w:rsid w:val="000770EE"/>
    <w:rsid w:val="000845FA"/>
    <w:rsid w:val="000A0277"/>
    <w:rsid w:val="000A3866"/>
    <w:rsid w:val="000A4DBA"/>
    <w:rsid w:val="000A6A15"/>
    <w:rsid w:val="000A76B2"/>
    <w:rsid w:val="000B2AAA"/>
    <w:rsid w:val="000B51D8"/>
    <w:rsid w:val="000C062E"/>
    <w:rsid w:val="000C2EAA"/>
    <w:rsid w:val="000D1BB4"/>
    <w:rsid w:val="000E063C"/>
    <w:rsid w:val="000E1D92"/>
    <w:rsid w:val="000F72FC"/>
    <w:rsid w:val="00100C9B"/>
    <w:rsid w:val="0011033F"/>
    <w:rsid w:val="0011160E"/>
    <w:rsid w:val="00112402"/>
    <w:rsid w:val="00120A86"/>
    <w:rsid w:val="00120B36"/>
    <w:rsid w:val="00122D61"/>
    <w:rsid w:val="001233D1"/>
    <w:rsid w:val="00127A55"/>
    <w:rsid w:val="001337EA"/>
    <w:rsid w:val="0014595D"/>
    <w:rsid w:val="001504C2"/>
    <w:rsid w:val="00150E3E"/>
    <w:rsid w:val="0015656B"/>
    <w:rsid w:val="00156700"/>
    <w:rsid w:val="00164BB0"/>
    <w:rsid w:val="001676D7"/>
    <w:rsid w:val="00167A29"/>
    <w:rsid w:val="001733A3"/>
    <w:rsid w:val="00177AB3"/>
    <w:rsid w:val="00181781"/>
    <w:rsid w:val="0018208B"/>
    <w:rsid w:val="00184880"/>
    <w:rsid w:val="00187BA6"/>
    <w:rsid w:val="00190768"/>
    <w:rsid w:val="001B43CB"/>
    <w:rsid w:val="001B5BF5"/>
    <w:rsid w:val="001B72E8"/>
    <w:rsid w:val="001C088E"/>
    <w:rsid w:val="001C0F2C"/>
    <w:rsid w:val="001C34A0"/>
    <w:rsid w:val="001D3BA4"/>
    <w:rsid w:val="001D5395"/>
    <w:rsid w:val="001D742A"/>
    <w:rsid w:val="001E122A"/>
    <w:rsid w:val="001E1744"/>
    <w:rsid w:val="001E2403"/>
    <w:rsid w:val="001E6F7E"/>
    <w:rsid w:val="001F03DF"/>
    <w:rsid w:val="001F660A"/>
    <w:rsid w:val="00211D70"/>
    <w:rsid w:val="00211DA1"/>
    <w:rsid w:val="0021255F"/>
    <w:rsid w:val="00212F19"/>
    <w:rsid w:val="00216417"/>
    <w:rsid w:val="002232A6"/>
    <w:rsid w:val="002301FF"/>
    <w:rsid w:val="00230719"/>
    <w:rsid w:val="00230E45"/>
    <w:rsid w:val="00236342"/>
    <w:rsid w:val="00242047"/>
    <w:rsid w:val="00243C9D"/>
    <w:rsid w:val="0025159F"/>
    <w:rsid w:val="002579AA"/>
    <w:rsid w:val="0026022D"/>
    <w:rsid w:val="00265C5C"/>
    <w:rsid w:val="00272723"/>
    <w:rsid w:val="002750B9"/>
    <w:rsid w:val="0028273D"/>
    <w:rsid w:val="0028330F"/>
    <w:rsid w:val="00292863"/>
    <w:rsid w:val="002C2789"/>
    <w:rsid w:val="002D387E"/>
    <w:rsid w:val="002E3FE9"/>
    <w:rsid w:val="002F7905"/>
    <w:rsid w:val="003016BF"/>
    <w:rsid w:val="0030224D"/>
    <w:rsid w:val="00310BF0"/>
    <w:rsid w:val="00315888"/>
    <w:rsid w:val="003214C4"/>
    <w:rsid w:val="00322993"/>
    <w:rsid w:val="00330168"/>
    <w:rsid w:val="003319C6"/>
    <w:rsid w:val="003328A9"/>
    <w:rsid w:val="0033485E"/>
    <w:rsid w:val="00340D97"/>
    <w:rsid w:val="003540E0"/>
    <w:rsid w:val="00372B30"/>
    <w:rsid w:val="00375506"/>
    <w:rsid w:val="0038291A"/>
    <w:rsid w:val="00385873"/>
    <w:rsid w:val="00386358"/>
    <w:rsid w:val="003944C9"/>
    <w:rsid w:val="003A1BCF"/>
    <w:rsid w:val="003A3E60"/>
    <w:rsid w:val="003A4323"/>
    <w:rsid w:val="003A5398"/>
    <w:rsid w:val="003A7553"/>
    <w:rsid w:val="003B49D0"/>
    <w:rsid w:val="003C57BB"/>
    <w:rsid w:val="003C6E5A"/>
    <w:rsid w:val="003C7DF3"/>
    <w:rsid w:val="003D0727"/>
    <w:rsid w:val="003D2A4A"/>
    <w:rsid w:val="003D2A79"/>
    <w:rsid w:val="003D4AC9"/>
    <w:rsid w:val="003D6C64"/>
    <w:rsid w:val="003D6C86"/>
    <w:rsid w:val="003E738D"/>
    <w:rsid w:val="003E7630"/>
    <w:rsid w:val="003F32FD"/>
    <w:rsid w:val="003F584E"/>
    <w:rsid w:val="0040064F"/>
    <w:rsid w:val="00404A0B"/>
    <w:rsid w:val="00421850"/>
    <w:rsid w:val="0042247A"/>
    <w:rsid w:val="00422806"/>
    <w:rsid w:val="00426FA9"/>
    <w:rsid w:val="004334B7"/>
    <w:rsid w:val="00434D9C"/>
    <w:rsid w:val="004360CE"/>
    <w:rsid w:val="004442E2"/>
    <w:rsid w:val="00446405"/>
    <w:rsid w:val="00471F95"/>
    <w:rsid w:val="004721B6"/>
    <w:rsid w:val="00485183"/>
    <w:rsid w:val="00485B94"/>
    <w:rsid w:val="004874C6"/>
    <w:rsid w:val="00494D1B"/>
    <w:rsid w:val="004A0DC5"/>
    <w:rsid w:val="004A1544"/>
    <w:rsid w:val="004A299B"/>
    <w:rsid w:val="004B1D21"/>
    <w:rsid w:val="004D3623"/>
    <w:rsid w:val="004E150D"/>
    <w:rsid w:val="004E1E19"/>
    <w:rsid w:val="004E2A10"/>
    <w:rsid w:val="004E42BA"/>
    <w:rsid w:val="004E5964"/>
    <w:rsid w:val="004F0929"/>
    <w:rsid w:val="00500281"/>
    <w:rsid w:val="005036F4"/>
    <w:rsid w:val="0050619C"/>
    <w:rsid w:val="00510CBB"/>
    <w:rsid w:val="0051231F"/>
    <w:rsid w:val="0051408B"/>
    <w:rsid w:val="00520FE2"/>
    <w:rsid w:val="0052271A"/>
    <w:rsid w:val="00522E37"/>
    <w:rsid w:val="0052705E"/>
    <w:rsid w:val="00531FCB"/>
    <w:rsid w:val="005335DB"/>
    <w:rsid w:val="00537946"/>
    <w:rsid w:val="00555119"/>
    <w:rsid w:val="0055535E"/>
    <w:rsid w:val="00566035"/>
    <w:rsid w:val="005749F6"/>
    <w:rsid w:val="00575EC2"/>
    <w:rsid w:val="00577B59"/>
    <w:rsid w:val="00584233"/>
    <w:rsid w:val="0059057D"/>
    <w:rsid w:val="0059450B"/>
    <w:rsid w:val="005977CC"/>
    <w:rsid w:val="005A378A"/>
    <w:rsid w:val="005C469D"/>
    <w:rsid w:val="005C6C8D"/>
    <w:rsid w:val="005C763B"/>
    <w:rsid w:val="00601000"/>
    <w:rsid w:val="00604307"/>
    <w:rsid w:val="00615AFD"/>
    <w:rsid w:val="006226A8"/>
    <w:rsid w:val="00622826"/>
    <w:rsid w:val="00625223"/>
    <w:rsid w:val="00633939"/>
    <w:rsid w:val="00644D48"/>
    <w:rsid w:val="00646BA5"/>
    <w:rsid w:val="00650E86"/>
    <w:rsid w:val="00654B66"/>
    <w:rsid w:val="00673ACA"/>
    <w:rsid w:val="00675985"/>
    <w:rsid w:val="006902C9"/>
    <w:rsid w:val="0069257C"/>
    <w:rsid w:val="00696A5F"/>
    <w:rsid w:val="006A36EB"/>
    <w:rsid w:val="006B44F0"/>
    <w:rsid w:val="006B5960"/>
    <w:rsid w:val="006C1E67"/>
    <w:rsid w:val="006C3527"/>
    <w:rsid w:val="006C48C0"/>
    <w:rsid w:val="006C58F5"/>
    <w:rsid w:val="006C7A00"/>
    <w:rsid w:val="006D0C93"/>
    <w:rsid w:val="006D2D50"/>
    <w:rsid w:val="006D30F3"/>
    <w:rsid w:val="006F3B48"/>
    <w:rsid w:val="006F5583"/>
    <w:rsid w:val="006F6086"/>
    <w:rsid w:val="00706DD1"/>
    <w:rsid w:val="0071226F"/>
    <w:rsid w:val="00713802"/>
    <w:rsid w:val="00723BE8"/>
    <w:rsid w:val="007313E3"/>
    <w:rsid w:val="0074323E"/>
    <w:rsid w:val="007665CF"/>
    <w:rsid w:val="0077148D"/>
    <w:rsid w:val="0077280C"/>
    <w:rsid w:val="00775BAE"/>
    <w:rsid w:val="00775BF7"/>
    <w:rsid w:val="00780CE4"/>
    <w:rsid w:val="00784DA9"/>
    <w:rsid w:val="007A40BE"/>
    <w:rsid w:val="007A6811"/>
    <w:rsid w:val="007A693F"/>
    <w:rsid w:val="007A6BF3"/>
    <w:rsid w:val="007B5C93"/>
    <w:rsid w:val="007C230B"/>
    <w:rsid w:val="007C24BF"/>
    <w:rsid w:val="007C2B06"/>
    <w:rsid w:val="007C5D76"/>
    <w:rsid w:val="007C6410"/>
    <w:rsid w:val="007D4741"/>
    <w:rsid w:val="007E49FF"/>
    <w:rsid w:val="007E6DF8"/>
    <w:rsid w:val="007F270A"/>
    <w:rsid w:val="007F459B"/>
    <w:rsid w:val="008034AE"/>
    <w:rsid w:val="008075F2"/>
    <w:rsid w:val="00822008"/>
    <w:rsid w:val="00825F45"/>
    <w:rsid w:val="00833892"/>
    <w:rsid w:val="00835C97"/>
    <w:rsid w:val="00837BD0"/>
    <w:rsid w:val="00840C62"/>
    <w:rsid w:val="00843130"/>
    <w:rsid w:val="008512CB"/>
    <w:rsid w:val="008668FE"/>
    <w:rsid w:val="008711B5"/>
    <w:rsid w:val="00880032"/>
    <w:rsid w:val="00882A79"/>
    <w:rsid w:val="0089648B"/>
    <w:rsid w:val="008A023B"/>
    <w:rsid w:val="008B1894"/>
    <w:rsid w:val="008B684D"/>
    <w:rsid w:val="008C5D3B"/>
    <w:rsid w:val="008C62F0"/>
    <w:rsid w:val="008E59C3"/>
    <w:rsid w:val="008F06B0"/>
    <w:rsid w:val="008F2202"/>
    <w:rsid w:val="00900902"/>
    <w:rsid w:val="00902FCE"/>
    <w:rsid w:val="009043E4"/>
    <w:rsid w:val="0090551D"/>
    <w:rsid w:val="00907DC3"/>
    <w:rsid w:val="00912A0D"/>
    <w:rsid w:val="00912D2D"/>
    <w:rsid w:val="00913410"/>
    <w:rsid w:val="009141E7"/>
    <w:rsid w:val="009146C3"/>
    <w:rsid w:val="00927202"/>
    <w:rsid w:val="00934E81"/>
    <w:rsid w:val="00944BCA"/>
    <w:rsid w:val="009457EF"/>
    <w:rsid w:val="00946E85"/>
    <w:rsid w:val="009558DC"/>
    <w:rsid w:val="00957315"/>
    <w:rsid w:val="00957518"/>
    <w:rsid w:val="00962BFD"/>
    <w:rsid w:val="00966690"/>
    <w:rsid w:val="00972727"/>
    <w:rsid w:val="009813A2"/>
    <w:rsid w:val="009813FF"/>
    <w:rsid w:val="00984675"/>
    <w:rsid w:val="00991DCD"/>
    <w:rsid w:val="009945B2"/>
    <w:rsid w:val="00995448"/>
    <w:rsid w:val="009A1EB2"/>
    <w:rsid w:val="009A5541"/>
    <w:rsid w:val="009A6C8C"/>
    <w:rsid w:val="009B3EE0"/>
    <w:rsid w:val="009C15A8"/>
    <w:rsid w:val="009D0CD1"/>
    <w:rsid w:val="009D7D81"/>
    <w:rsid w:val="009D7E6D"/>
    <w:rsid w:val="009E11C0"/>
    <w:rsid w:val="009E16A4"/>
    <w:rsid w:val="009E1785"/>
    <w:rsid w:val="009E6298"/>
    <w:rsid w:val="009F4E79"/>
    <w:rsid w:val="00A0141A"/>
    <w:rsid w:val="00A01B18"/>
    <w:rsid w:val="00A06DE6"/>
    <w:rsid w:val="00A11273"/>
    <w:rsid w:val="00A132B3"/>
    <w:rsid w:val="00A2564A"/>
    <w:rsid w:val="00A25F7D"/>
    <w:rsid w:val="00A27CE7"/>
    <w:rsid w:val="00A36A9E"/>
    <w:rsid w:val="00A517C1"/>
    <w:rsid w:val="00A66D89"/>
    <w:rsid w:val="00A74A34"/>
    <w:rsid w:val="00A74C14"/>
    <w:rsid w:val="00A839D6"/>
    <w:rsid w:val="00A863E9"/>
    <w:rsid w:val="00A86793"/>
    <w:rsid w:val="00A93E3A"/>
    <w:rsid w:val="00AB1355"/>
    <w:rsid w:val="00AC5C1E"/>
    <w:rsid w:val="00AE30E2"/>
    <w:rsid w:val="00AE48E7"/>
    <w:rsid w:val="00AF3A99"/>
    <w:rsid w:val="00AF6E2D"/>
    <w:rsid w:val="00B00109"/>
    <w:rsid w:val="00B101B4"/>
    <w:rsid w:val="00B254BF"/>
    <w:rsid w:val="00B35D30"/>
    <w:rsid w:val="00B40015"/>
    <w:rsid w:val="00B411B1"/>
    <w:rsid w:val="00B44B15"/>
    <w:rsid w:val="00B45841"/>
    <w:rsid w:val="00B504AA"/>
    <w:rsid w:val="00B51300"/>
    <w:rsid w:val="00B61270"/>
    <w:rsid w:val="00B61400"/>
    <w:rsid w:val="00B61E25"/>
    <w:rsid w:val="00B62850"/>
    <w:rsid w:val="00B64714"/>
    <w:rsid w:val="00B66551"/>
    <w:rsid w:val="00B66CA4"/>
    <w:rsid w:val="00B66CD5"/>
    <w:rsid w:val="00B74021"/>
    <w:rsid w:val="00B804FF"/>
    <w:rsid w:val="00B84D06"/>
    <w:rsid w:val="00B87752"/>
    <w:rsid w:val="00B91B9C"/>
    <w:rsid w:val="00B96B06"/>
    <w:rsid w:val="00B96C1A"/>
    <w:rsid w:val="00BA1605"/>
    <w:rsid w:val="00BB24D7"/>
    <w:rsid w:val="00BB3C0B"/>
    <w:rsid w:val="00BD55BD"/>
    <w:rsid w:val="00BD55E2"/>
    <w:rsid w:val="00BD70AE"/>
    <w:rsid w:val="00BE2A51"/>
    <w:rsid w:val="00BE63A1"/>
    <w:rsid w:val="00BF2333"/>
    <w:rsid w:val="00BF2FF0"/>
    <w:rsid w:val="00BF5F1C"/>
    <w:rsid w:val="00C0328B"/>
    <w:rsid w:val="00C03F76"/>
    <w:rsid w:val="00C07045"/>
    <w:rsid w:val="00C1178B"/>
    <w:rsid w:val="00C11E4F"/>
    <w:rsid w:val="00C13B40"/>
    <w:rsid w:val="00C160C1"/>
    <w:rsid w:val="00C17D1E"/>
    <w:rsid w:val="00C20E48"/>
    <w:rsid w:val="00C231EA"/>
    <w:rsid w:val="00C23FA8"/>
    <w:rsid w:val="00C27554"/>
    <w:rsid w:val="00C50C5C"/>
    <w:rsid w:val="00C54B3F"/>
    <w:rsid w:val="00C56B33"/>
    <w:rsid w:val="00C570DB"/>
    <w:rsid w:val="00C57C93"/>
    <w:rsid w:val="00C640F8"/>
    <w:rsid w:val="00C75476"/>
    <w:rsid w:val="00C77381"/>
    <w:rsid w:val="00C87FC5"/>
    <w:rsid w:val="00C91606"/>
    <w:rsid w:val="00C91DFD"/>
    <w:rsid w:val="00C9206F"/>
    <w:rsid w:val="00C97F96"/>
    <w:rsid w:val="00CA389F"/>
    <w:rsid w:val="00CA7EAF"/>
    <w:rsid w:val="00CB1949"/>
    <w:rsid w:val="00CB60E2"/>
    <w:rsid w:val="00CC2EFD"/>
    <w:rsid w:val="00CC6974"/>
    <w:rsid w:val="00CD31E1"/>
    <w:rsid w:val="00CE1BA9"/>
    <w:rsid w:val="00CF0ABE"/>
    <w:rsid w:val="00CF4F75"/>
    <w:rsid w:val="00CF6A61"/>
    <w:rsid w:val="00CF79DD"/>
    <w:rsid w:val="00CF7B32"/>
    <w:rsid w:val="00D04F6C"/>
    <w:rsid w:val="00D1129F"/>
    <w:rsid w:val="00D12D0D"/>
    <w:rsid w:val="00D16B3F"/>
    <w:rsid w:val="00D17723"/>
    <w:rsid w:val="00D2450A"/>
    <w:rsid w:val="00D24F50"/>
    <w:rsid w:val="00D3262A"/>
    <w:rsid w:val="00D34350"/>
    <w:rsid w:val="00D35E2C"/>
    <w:rsid w:val="00D407D9"/>
    <w:rsid w:val="00D40BB1"/>
    <w:rsid w:val="00D44C55"/>
    <w:rsid w:val="00D515A0"/>
    <w:rsid w:val="00D63B96"/>
    <w:rsid w:val="00D66F56"/>
    <w:rsid w:val="00D672F7"/>
    <w:rsid w:val="00D67936"/>
    <w:rsid w:val="00D67CA0"/>
    <w:rsid w:val="00D76128"/>
    <w:rsid w:val="00D77060"/>
    <w:rsid w:val="00D83F5F"/>
    <w:rsid w:val="00D849BB"/>
    <w:rsid w:val="00D90C76"/>
    <w:rsid w:val="00D97BE2"/>
    <w:rsid w:val="00DA1192"/>
    <w:rsid w:val="00DA198F"/>
    <w:rsid w:val="00DA3DBA"/>
    <w:rsid w:val="00DA50C7"/>
    <w:rsid w:val="00DA6124"/>
    <w:rsid w:val="00DA6224"/>
    <w:rsid w:val="00DA651C"/>
    <w:rsid w:val="00DA68C9"/>
    <w:rsid w:val="00DB375E"/>
    <w:rsid w:val="00DC0D22"/>
    <w:rsid w:val="00DC6DA9"/>
    <w:rsid w:val="00DE59B4"/>
    <w:rsid w:val="00DE5C4B"/>
    <w:rsid w:val="00DF0DE7"/>
    <w:rsid w:val="00DF200A"/>
    <w:rsid w:val="00DF39D7"/>
    <w:rsid w:val="00DF5261"/>
    <w:rsid w:val="00DF5B87"/>
    <w:rsid w:val="00E01239"/>
    <w:rsid w:val="00E03C1D"/>
    <w:rsid w:val="00E079E4"/>
    <w:rsid w:val="00E11F87"/>
    <w:rsid w:val="00E12D7F"/>
    <w:rsid w:val="00E13F11"/>
    <w:rsid w:val="00E17B52"/>
    <w:rsid w:val="00E21C46"/>
    <w:rsid w:val="00E30545"/>
    <w:rsid w:val="00E3122F"/>
    <w:rsid w:val="00E34B7F"/>
    <w:rsid w:val="00E36D20"/>
    <w:rsid w:val="00E37BF4"/>
    <w:rsid w:val="00E40E29"/>
    <w:rsid w:val="00E47003"/>
    <w:rsid w:val="00E5035C"/>
    <w:rsid w:val="00E53510"/>
    <w:rsid w:val="00E63534"/>
    <w:rsid w:val="00E66C2D"/>
    <w:rsid w:val="00E671EB"/>
    <w:rsid w:val="00E71655"/>
    <w:rsid w:val="00E91BBC"/>
    <w:rsid w:val="00E92135"/>
    <w:rsid w:val="00E9674E"/>
    <w:rsid w:val="00EA1557"/>
    <w:rsid w:val="00EA517A"/>
    <w:rsid w:val="00EB1768"/>
    <w:rsid w:val="00EB63E5"/>
    <w:rsid w:val="00EF53B5"/>
    <w:rsid w:val="00EF5679"/>
    <w:rsid w:val="00EF78A1"/>
    <w:rsid w:val="00F04245"/>
    <w:rsid w:val="00F06226"/>
    <w:rsid w:val="00F1396F"/>
    <w:rsid w:val="00F14BAE"/>
    <w:rsid w:val="00F221C4"/>
    <w:rsid w:val="00F22F8F"/>
    <w:rsid w:val="00F264DD"/>
    <w:rsid w:val="00F308C7"/>
    <w:rsid w:val="00F317BF"/>
    <w:rsid w:val="00F34C22"/>
    <w:rsid w:val="00F3789F"/>
    <w:rsid w:val="00F42168"/>
    <w:rsid w:val="00F43927"/>
    <w:rsid w:val="00F45F39"/>
    <w:rsid w:val="00F5563F"/>
    <w:rsid w:val="00F562E5"/>
    <w:rsid w:val="00F60ACD"/>
    <w:rsid w:val="00F60E76"/>
    <w:rsid w:val="00F65B6F"/>
    <w:rsid w:val="00F7606C"/>
    <w:rsid w:val="00F8632D"/>
    <w:rsid w:val="00F93370"/>
    <w:rsid w:val="00F94AD6"/>
    <w:rsid w:val="00FA492A"/>
    <w:rsid w:val="00FA5EA3"/>
    <w:rsid w:val="00FB4047"/>
    <w:rsid w:val="00FB58C3"/>
    <w:rsid w:val="00FB6B98"/>
    <w:rsid w:val="00FC2202"/>
    <w:rsid w:val="00FC6C01"/>
    <w:rsid w:val="00FD0A4C"/>
    <w:rsid w:val="00FD1161"/>
    <w:rsid w:val="00FE1B8E"/>
    <w:rsid w:val="00FE2BAB"/>
    <w:rsid w:val="00FF049B"/>
    <w:rsid w:val="00FF14EA"/>
    <w:rsid w:val="00FF4FE4"/>
    <w:rsid w:val="0623284F"/>
    <w:rsid w:val="0B2836BB"/>
    <w:rsid w:val="0C1A7ED6"/>
    <w:rsid w:val="0D70DAAF"/>
    <w:rsid w:val="11F89680"/>
    <w:rsid w:val="127B8F6E"/>
    <w:rsid w:val="133348A0"/>
    <w:rsid w:val="14878189"/>
    <w:rsid w:val="15303742"/>
    <w:rsid w:val="21057687"/>
    <w:rsid w:val="22389EBA"/>
    <w:rsid w:val="263A1DFF"/>
    <w:rsid w:val="265092D3"/>
    <w:rsid w:val="267340B8"/>
    <w:rsid w:val="273E60A9"/>
    <w:rsid w:val="28F77823"/>
    <w:rsid w:val="2A0B1D75"/>
    <w:rsid w:val="2C737509"/>
    <w:rsid w:val="307A9FD2"/>
    <w:rsid w:val="30E7ACE1"/>
    <w:rsid w:val="3173A055"/>
    <w:rsid w:val="32FF78AA"/>
    <w:rsid w:val="3316C8AA"/>
    <w:rsid w:val="36051D5A"/>
    <w:rsid w:val="3AB159D4"/>
    <w:rsid w:val="3C4D2A35"/>
    <w:rsid w:val="410772FB"/>
    <w:rsid w:val="4181B999"/>
    <w:rsid w:val="438F18C9"/>
    <w:rsid w:val="44B95A5B"/>
    <w:rsid w:val="482EB9CD"/>
    <w:rsid w:val="49F00FED"/>
    <w:rsid w:val="4BD5D295"/>
    <w:rsid w:val="4DE4D981"/>
    <w:rsid w:val="508409C9"/>
    <w:rsid w:val="51AC5F5B"/>
    <w:rsid w:val="5B1DCAA2"/>
    <w:rsid w:val="5E61AC22"/>
    <w:rsid w:val="5FAA5BB8"/>
    <w:rsid w:val="62496C42"/>
    <w:rsid w:val="62D3B989"/>
    <w:rsid w:val="63C09930"/>
    <w:rsid w:val="65759AE7"/>
    <w:rsid w:val="65F55206"/>
    <w:rsid w:val="66E1C648"/>
    <w:rsid w:val="68C727B9"/>
    <w:rsid w:val="68F8A695"/>
    <w:rsid w:val="6A52B653"/>
    <w:rsid w:val="6E0466A2"/>
    <w:rsid w:val="6FA93001"/>
    <w:rsid w:val="70909614"/>
    <w:rsid w:val="767A24D0"/>
    <w:rsid w:val="7866BCF1"/>
    <w:rsid w:val="7C947284"/>
    <w:rsid w:val="7E1E753B"/>
    <w:rsid w:val="7FFEA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4AA4D5"/>
  <w15:chartTrackingRefBased/>
  <w15:docId w15:val="{F545334C-C223-4E58-A860-DA15D9BE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EAF"/>
    <w:pPr>
      <w:spacing w:after="120" w:line="240" w:lineRule="auto"/>
    </w:pPr>
    <w:rPr>
      <w:rFonts w:ascii="Arial" w:eastAsia="Times New Roman" w:hAnsi="Arial" w:cs="Times New Roman"/>
      <w:szCs w:val="20"/>
    </w:rPr>
  </w:style>
  <w:style w:type="paragraph" w:styleId="Heading2">
    <w:name w:val="heading 2"/>
    <w:basedOn w:val="Normal"/>
    <w:next w:val="Normal"/>
    <w:link w:val="Heading2Char"/>
    <w:uiPriority w:val="9"/>
    <w:unhideWhenUsed/>
    <w:qFormat/>
    <w:rsid w:val="0042185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7EAF"/>
    <w:pPr>
      <w:pBdr>
        <w:top w:val="single" w:sz="6" w:space="3" w:color="auto"/>
      </w:pBdr>
      <w:tabs>
        <w:tab w:val="center" w:pos="4395"/>
        <w:tab w:val="right" w:pos="8789"/>
      </w:tabs>
      <w:spacing w:before="120" w:after="0"/>
    </w:pPr>
    <w:rPr>
      <w:sz w:val="16"/>
    </w:rPr>
  </w:style>
  <w:style w:type="character" w:customStyle="1" w:styleId="FooterChar">
    <w:name w:val="Footer Char"/>
    <w:basedOn w:val="DefaultParagraphFont"/>
    <w:link w:val="Footer"/>
    <w:rsid w:val="00CA7EAF"/>
    <w:rPr>
      <w:rFonts w:ascii="Arial" w:eastAsia="Times New Roman" w:hAnsi="Arial" w:cs="Times New Roman"/>
      <w:sz w:val="16"/>
      <w:szCs w:val="20"/>
    </w:rPr>
  </w:style>
  <w:style w:type="character" w:styleId="PageNumber">
    <w:name w:val="page number"/>
    <w:basedOn w:val="DefaultParagraphFont"/>
    <w:rsid w:val="00CA7EAF"/>
  </w:style>
  <w:style w:type="character" w:styleId="CommentReference">
    <w:name w:val="annotation reference"/>
    <w:basedOn w:val="DefaultParagraphFont"/>
    <w:uiPriority w:val="99"/>
    <w:unhideWhenUsed/>
    <w:rsid w:val="00622826"/>
    <w:rPr>
      <w:sz w:val="16"/>
      <w:szCs w:val="16"/>
    </w:rPr>
  </w:style>
  <w:style w:type="paragraph" w:styleId="CommentText">
    <w:name w:val="annotation text"/>
    <w:basedOn w:val="Normal"/>
    <w:link w:val="CommentTextChar"/>
    <w:uiPriority w:val="99"/>
    <w:semiHidden/>
    <w:unhideWhenUsed/>
    <w:rsid w:val="00622826"/>
    <w:pPr>
      <w:spacing w:after="160"/>
    </w:pPr>
    <w:rPr>
      <w:rFonts w:eastAsiaTheme="minorHAnsi" w:cs="Arial"/>
      <w:sz w:val="20"/>
    </w:rPr>
  </w:style>
  <w:style w:type="character" w:customStyle="1" w:styleId="CommentTextChar">
    <w:name w:val="Comment Text Char"/>
    <w:basedOn w:val="DefaultParagraphFont"/>
    <w:link w:val="CommentText"/>
    <w:uiPriority w:val="99"/>
    <w:semiHidden/>
    <w:rsid w:val="00622826"/>
    <w:rPr>
      <w:rFonts w:ascii="Arial" w:hAnsi="Arial" w:cs="Arial"/>
      <w:sz w:val="20"/>
      <w:szCs w:val="20"/>
    </w:rPr>
  </w:style>
  <w:style w:type="paragraph" w:styleId="BalloonText">
    <w:name w:val="Balloon Text"/>
    <w:basedOn w:val="Normal"/>
    <w:link w:val="BalloonTextChar"/>
    <w:uiPriority w:val="99"/>
    <w:semiHidden/>
    <w:unhideWhenUsed/>
    <w:rsid w:val="006228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26"/>
    <w:rPr>
      <w:rFonts w:ascii="Segoe UI" w:eastAsia="Times New Roman" w:hAnsi="Segoe UI" w:cs="Segoe UI"/>
      <w:sz w:val="18"/>
      <w:szCs w:val="18"/>
    </w:rPr>
  </w:style>
  <w:style w:type="paragraph" w:styleId="ListParagraph">
    <w:name w:val="List Paragraph"/>
    <w:basedOn w:val="Normal"/>
    <w:uiPriority w:val="34"/>
    <w:qFormat/>
    <w:rsid w:val="00B411B1"/>
    <w:pPr>
      <w:ind w:left="720"/>
      <w:contextualSpacing/>
    </w:pPr>
  </w:style>
  <w:style w:type="paragraph" w:styleId="NormalWeb">
    <w:name w:val="Normal (Web)"/>
    <w:basedOn w:val="Normal"/>
    <w:uiPriority w:val="99"/>
    <w:semiHidden/>
    <w:unhideWhenUsed/>
    <w:rsid w:val="00E9674E"/>
    <w:pPr>
      <w:spacing w:before="100" w:beforeAutospacing="1" w:after="100" w:afterAutospacing="1"/>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C75476"/>
    <w:pPr>
      <w:spacing w:after="120"/>
    </w:pPr>
    <w:rPr>
      <w:rFonts w:eastAsia="Times New Roman" w:cs="Times New Roman"/>
      <w:b/>
      <w:bCs/>
    </w:rPr>
  </w:style>
  <w:style w:type="character" w:customStyle="1" w:styleId="CommentSubjectChar">
    <w:name w:val="Comment Subject Char"/>
    <w:basedOn w:val="CommentTextChar"/>
    <w:link w:val="CommentSubject"/>
    <w:uiPriority w:val="99"/>
    <w:semiHidden/>
    <w:rsid w:val="00C75476"/>
    <w:rPr>
      <w:rFonts w:ascii="Arial" w:eastAsia="Times New Roman" w:hAnsi="Arial" w:cs="Times New Roman"/>
      <w:b/>
      <w:bCs/>
      <w:sz w:val="20"/>
      <w:szCs w:val="20"/>
    </w:rPr>
  </w:style>
  <w:style w:type="character" w:styleId="Hyperlink">
    <w:name w:val="Hyperlink"/>
    <w:basedOn w:val="DefaultParagraphFont"/>
    <w:uiPriority w:val="99"/>
    <w:unhideWhenUsed/>
    <w:rsid w:val="00004069"/>
    <w:rPr>
      <w:color w:val="0000FF"/>
      <w:u w:val="single"/>
    </w:rPr>
  </w:style>
  <w:style w:type="character" w:styleId="FollowedHyperlink">
    <w:name w:val="FollowedHyperlink"/>
    <w:basedOn w:val="DefaultParagraphFont"/>
    <w:uiPriority w:val="99"/>
    <w:semiHidden/>
    <w:unhideWhenUsed/>
    <w:rsid w:val="00902FCE"/>
    <w:rPr>
      <w:color w:val="954F72" w:themeColor="followedHyperlink"/>
      <w:u w:val="single"/>
    </w:rPr>
  </w:style>
  <w:style w:type="character" w:customStyle="1" w:styleId="Heading2Char">
    <w:name w:val="Heading 2 Char"/>
    <w:basedOn w:val="DefaultParagraphFont"/>
    <w:link w:val="Heading2"/>
    <w:uiPriority w:val="9"/>
    <w:rsid w:val="00421850"/>
    <w:rPr>
      <w:rFonts w:asciiTheme="majorHAnsi" w:eastAsiaTheme="majorEastAsia" w:hAnsiTheme="majorHAnsi" w:cstheme="majorBidi"/>
      <w:color w:val="2E74B5" w:themeColor="accent1" w:themeShade="BF"/>
      <w:kern w:val="2"/>
      <w:sz w:val="32"/>
      <w:szCs w:val="32"/>
      <w14:ligatures w14:val="standardContextual"/>
    </w:rPr>
  </w:style>
  <w:style w:type="paragraph" w:styleId="FootnoteText">
    <w:name w:val="footnote text"/>
    <w:basedOn w:val="Normal"/>
    <w:link w:val="FootnoteTextChar"/>
    <w:uiPriority w:val="99"/>
    <w:semiHidden/>
    <w:unhideWhenUsed/>
    <w:rsid w:val="00421850"/>
    <w:pPr>
      <w:spacing w:after="0"/>
    </w:pPr>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421850"/>
    <w:rPr>
      <w:kern w:val="2"/>
      <w:sz w:val="20"/>
      <w:szCs w:val="20"/>
      <w14:ligatures w14:val="standardContextual"/>
    </w:rPr>
  </w:style>
  <w:style w:type="character" w:styleId="FootnoteReference">
    <w:name w:val="footnote reference"/>
    <w:basedOn w:val="DefaultParagraphFont"/>
    <w:uiPriority w:val="99"/>
    <w:semiHidden/>
    <w:unhideWhenUsed/>
    <w:rsid w:val="00421850"/>
    <w:rPr>
      <w:vertAlign w:val="superscript"/>
    </w:rPr>
  </w:style>
  <w:style w:type="paragraph" w:styleId="Revision">
    <w:name w:val="Revision"/>
    <w:hidden/>
    <w:uiPriority w:val="99"/>
    <w:semiHidden/>
    <w:rsid w:val="0040064F"/>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6D30F3"/>
    <w:pPr>
      <w:tabs>
        <w:tab w:val="center" w:pos="4513"/>
        <w:tab w:val="right" w:pos="9026"/>
      </w:tabs>
      <w:spacing w:after="0"/>
    </w:pPr>
  </w:style>
  <w:style w:type="character" w:customStyle="1" w:styleId="HeaderChar">
    <w:name w:val="Header Char"/>
    <w:basedOn w:val="DefaultParagraphFont"/>
    <w:link w:val="Header"/>
    <w:uiPriority w:val="99"/>
    <w:rsid w:val="006D30F3"/>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9141E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E12D7F"/>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7C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729A-8126-4A5B-BE45-BE04F91E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Stirling Council</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Rooney</dc:creator>
  <cp:keywords/>
  <dc:description/>
  <cp:lastModifiedBy>Steven McDermott</cp:lastModifiedBy>
  <cp:revision>8</cp:revision>
  <cp:lastPrinted>2023-09-06T17:01:00Z</cp:lastPrinted>
  <dcterms:created xsi:type="dcterms:W3CDTF">2024-05-23T13:55:00Z</dcterms:created>
  <dcterms:modified xsi:type="dcterms:W3CDTF">2024-05-31T11:47:00Z</dcterms:modified>
</cp:coreProperties>
</file>