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19131F83" w14:textId="77777777" w:rsidR="002E2E04" w:rsidRPr="00C86259" w:rsidRDefault="005C2BEA" w:rsidP="00B67CCC">
      <w:r w:rsidRPr="00C86259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36675F6C" wp14:editId="3199D93A">
                <wp:simplePos x="0" y="0"/>
                <wp:positionH relativeFrom="column">
                  <wp:posOffset>-393700</wp:posOffset>
                </wp:positionH>
                <wp:positionV relativeFrom="paragraph">
                  <wp:posOffset>638175</wp:posOffset>
                </wp:positionV>
                <wp:extent cx="6417945" cy="1404620"/>
                <wp:effectExtent l="0" t="0" r="1905" b="3810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7945" cy="140462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51924E" w14:textId="77777777" w:rsidR="00DB62E3" w:rsidRPr="005C2BEA" w:rsidRDefault="00DB62E3" w:rsidP="00B67CCC">
                            <w:pPr>
                              <w:rPr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5C2BEA">
                              <w:rPr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t>CITY REGION DEAL JOINT COMMITTEE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br/>
                            </w:r>
                            <w:r w:rsidRPr="005C2BEA">
                              <w:rPr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t>ROLLING ACTIONS LOG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36675F6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1pt;margin-top:50.25pt;width:505.35pt;height:110.6pt;z-index:2516797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" fillcolor="#a8d08d [1945]" stroked="f">
                <v:textbox style="mso-fit-shape-to-text:t">
                  <w:txbxContent>
                    <w:p w14:paraId="2D51924E" w14:textId="77777777" w:rsidR="00DB62E3" w:rsidRPr="005C2BEA" w:rsidRDefault="00DB62E3" w:rsidP="00B67CCC">
                      <w:pPr>
                        <w:rPr>
                          <w:b/>
                          <w:color w:val="FFFFFF" w:themeColor="background1"/>
                          <w:sz w:val="44"/>
                          <w:szCs w:val="44"/>
                        </w:rPr>
                      </w:pPr>
                      <w:r w:rsidRPr="005C2BEA">
                        <w:rPr>
                          <w:b/>
                          <w:color w:val="FFFFFF" w:themeColor="background1"/>
                          <w:sz w:val="44"/>
                          <w:szCs w:val="44"/>
                        </w:rPr>
                        <w:t>CITY REGION DEAL JOINT COMMITTEE</w:t>
                      </w:r>
                      <w:r>
                        <w:rPr>
                          <w:b/>
                          <w:color w:val="FFFFFF" w:themeColor="background1"/>
                          <w:sz w:val="44"/>
                          <w:szCs w:val="44"/>
                        </w:rPr>
                        <w:br/>
                      </w:r>
                      <w:r w:rsidRPr="005C2BEA">
                        <w:rPr>
                          <w:b/>
                          <w:color w:val="FFFFFF" w:themeColor="background1"/>
                          <w:sz w:val="44"/>
                          <w:szCs w:val="44"/>
                        </w:rPr>
                        <w:t>ROLLING ACTIONS LOG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W w:w="1003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095"/>
        <w:gridCol w:w="1434"/>
        <w:gridCol w:w="2124"/>
        <w:gridCol w:w="992"/>
        <w:gridCol w:w="1274"/>
        <w:gridCol w:w="3117"/>
      </w:tblGrid>
      <w:tr w:rsidR="00A856F9" w:rsidRPr="00C86259" w14:paraId="06E28A19" w14:textId="77777777" w:rsidTr="00A856F9">
        <w:tc>
          <w:tcPr>
            <w:tcW w:w="1097" w:type="dxa"/>
            <w:shd w:val="clear" w:color="auto" w:fill="A8D08D" w:themeFill="accent6" w:themeFillTint="99"/>
          </w:tcPr>
          <w:p w14:paraId="32834824" w14:textId="77777777" w:rsidR="00A856F9" w:rsidRPr="00C86259" w:rsidRDefault="00A856F9" w:rsidP="00B67CCC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C86259">
              <w:rPr>
                <w:b/>
                <w:color w:val="FFFFFF" w:themeColor="background1"/>
                <w:sz w:val="20"/>
                <w:szCs w:val="20"/>
              </w:rPr>
              <w:t>Date</w:t>
            </w:r>
          </w:p>
        </w:tc>
        <w:tc>
          <w:tcPr>
            <w:tcW w:w="1425" w:type="dxa"/>
            <w:shd w:val="clear" w:color="auto" w:fill="A8D08D" w:themeFill="accent6" w:themeFillTint="99"/>
          </w:tcPr>
          <w:p w14:paraId="717357A1" w14:textId="77777777" w:rsidR="00A856F9" w:rsidRPr="00C86259" w:rsidRDefault="00A856F9" w:rsidP="00B67CCC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C86259">
              <w:rPr>
                <w:b/>
                <w:color w:val="FFFFFF" w:themeColor="background1"/>
                <w:sz w:val="20"/>
                <w:szCs w:val="20"/>
              </w:rPr>
              <w:t>Report title</w:t>
            </w:r>
          </w:p>
        </w:tc>
        <w:tc>
          <w:tcPr>
            <w:tcW w:w="2126" w:type="dxa"/>
            <w:shd w:val="clear" w:color="auto" w:fill="A8D08D" w:themeFill="accent6" w:themeFillTint="99"/>
          </w:tcPr>
          <w:p w14:paraId="70F5B16C" w14:textId="77777777" w:rsidR="00A856F9" w:rsidRPr="00C86259" w:rsidRDefault="00A856F9" w:rsidP="00B67CCC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C86259">
              <w:rPr>
                <w:b/>
                <w:color w:val="FFFFFF" w:themeColor="background1"/>
                <w:sz w:val="20"/>
                <w:szCs w:val="20"/>
              </w:rPr>
              <w:t>Action</w:t>
            </w:r>
          </w:p>
        </w:tc>
        <w:tc>
          <w:tcPr>
            <w:tcW w:w="993" w:type="dxa"/>
            <w:shd w:val="clear" w:color="auto" w:fill="A8D08D" w:themeFill="accent6" w:themeFillTint="99"/>
          </w:tcPr>
          <w:p w14:paraId="1CA478D8" w14:textId="77777777" w:rsidR="00A856F9" w:rsidRPr="00C86259" w:rsidRDefault="00A856F9" w:rsidP="00B67CCC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C86259">
              <w:rPr>
                <w:b/>
                <w:color w:val="FFFFFF" w:themeColor="background1"/>
                <w:sz w:val="20"/>
                <w:szCs w:val="20"/>
              </w:rPr>
              <w:t>Action owner</w:t>
            </w:r>
          </w:p>
        </w:tc>
        <w:tc>
          <w:tcPr>
            <w:tcW w:w="1275" w:type="dxa"/>
            <w:shd w:val="clear" w:color="auto" w:fill="A8D08D" w:themeFill="accent6" w:themeFillTint="99"/>
          </w:tcPr>
          <w:p w14:paraId="6CBCACA4" w14:textId="77777777" w:rsidR="00A856F9" w:rsidRPr="00C86259" w:rsidRDefault="00A856F9" w:rsidP="00B67CCC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C86259">
              <w:rPr>
                <w:b/>
                <w:color w:val="FFFFFF" w:themeColor="background1"/>
                <w:sz w:val="20"/>
                <w:szCs w:val="20"/>
              </w:rPr>
              <w:t>Completion date (expected)</w:t>
            </w:r>
          </w:p>
        </w:tc>
        <w:tc>
          <w:tcPr>
            <w:tcW w:w="3120" w:type="dxa"/>
            <w:shd w:val="clear" w:color="auto" w:fill="A8D08D" w:themeFill="accent6" w:themeFillTint="99"/>
          </w:tcPr>
          <w:p w14:paraId="1D37F5EF" w14:textId="77777777" w:rsidR="00A856F9" w:rsidRPr="00C86259" w:rsidRDefault="00A856F9" w:rsidP="00B67CCC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C86259">
              <w:rPr>
                <w:b/>
                <w:color w:val="FFFFFF" w:themeColor="background1"/>
                <w:sz w:val="20"/>
                <w:szCs w:val="20"/>
              </w:rPr>
              <w:t>Comments</w:t>
            </w:r>
          </w:p>
        </w:tc>
      </w:tr>
      <w:tr w:rsidR="00A856F9" w:rsidRPr="00C86259" w14:paraId="2A809940" w14:textId="77777777" w:rsidTr="00A856F9">
        <w:tc>
          <w:tcPr>
            <w:tcW w:w="1087" w:type="dxa"/>
          </w:tcPr>
          <w:p w14:paraId="4A1D2A6B" w14:textId="77777777" w:rsidR="00A856F9" w:rsidRPr="00C86259" w:rsidRDefault="00A856F9" w:rsidP="008215F9">
            <w:pPr>
              <w:rPr>
                <w:sz w:val="18"/>
              </w:rPr>
            </w:pPr>
            <w:r w:rsidRPr="00C86259">
              <w:rPr>
                <w:sz w:val="18"/>
              </w:rPr>
              <w:t>9</w:t>
            </w:r>
            <w:r w:rsidRPr="00C86259">
              <w:rPr>
                <w:sz w:val="18"/>
                <w:vertAlign w:val="superscript"/>
              </w:rPr>
              <w:t>th</w:t>
            </w:r>
            <w:r w:rsidRPr="00C86259">
              <w:rPr>
                <w:sz w:val="18"/>
              </w:rPr>
              <w:t xml:space="preserve"> March 2021</w:t>
            </w:r>
          </w:p>
        </w:tc>
        <w:tc>
          <w:tcPr>
            <w:tcW w:w="1435" w:type="dxa"/>
          </w:tcPr>
          <w:p w14:paraId="5BF11845" w14:textId="77777777" w:rsidR="00A856F9" w:rsidRPr="00C86259" w:rsidRDefault="00A856F9" w:rsidP="008215F9">
            <w:pPr>
              <w:rPr>
                <w:sz w:val="18"/>
              </w:rPr>
            </w:pPr>
            <w:r w:rsidRPr="00C86259">
              <w:rPr>
                <w:sz w:val="18"/>
              </w:rPr>
              <w:t>Outcomes of the Delegated Group Work on Implementation Plan</w:t>
            </w:r>
          </w:p>
        </w:tc>
        <w:tc>
          <w:tcPr>
            <w:tcW w:w="2126" w:type="dxa"/>
          </w:tcPr>
          <w:p w14:paraId="4B3D0142" w14:textId="77777777" w:rsidR="00A856F9" w:rsidRPr="00C86259" w:rsidRDefault="00A856F9" w:rsidP="00477C56">
            <w:pPr>
              <w:tabs>
                <w:tab w:val="left" w:pos="851"/>
              </w:tabs>
              <w:autoSpaceDE w:val="0"/>
              <w:autoSpaceDN w:val="0"/>
              <w:adjustRightInd w:val="0"/>
              <w:spacing w:line="240" w:lineRule="auto"/>
              <w:rPr>
                <w:rFonts w:ascii="Calibri" w:eastAsiaTheme="minorHAnsi" w:hAnsi="Calibri" w:cs="Calibri"/>
                <w:sz w:val="18"/>
                <w:szCs w:val="18"/>
              </w:rPr>
            </w:pPr>
            <w:r w:rsidRPr="00C86259">
              <w:rPr>
                <w:rFonts w:ascii="Calibri" w:eastAsiaTheme="minorHAnsi" w:hAnsi="Calibri" w:cs="Calibri"/>
                <w:sz w:val="18"/>
                <w:szCs w:val="18"/>
              </w:rPr>
              <w:t>To approve the proposal to bring forward a paper to November Joint Committee on an Innovation Thematic Board to support the work of the Innovation Investment Strand</w:t>
            </w:r>
          </w:p>
          <w:p w14:paraId="7E6613EB" w14:textId="77777777" w:rsidR="00A856F9" w:rsidRPr="00C86259" w:rsidRDefault="00A856F9" w:rsidP="00477C56">
            <w:pPr>
              <w:tabs>
                <w:tab w:val="left" w:pos="851"/>
              </w:tabs>
              <w:autoSpaceDE w:val="0"/>
              <w:autoSpaceDN w:val="0"/>
              <w:adjustRightInd w:val="0"/>
              <w:spacing w:line="240" w:lineRule="auto"/>
              <w:rPr>
                <w:rFonts w:ascii="Calibri" w:eastAsiaTheme="minorHAnsi" w:hAnsi="Calibri" w:cs="Calibri"/>
                <w:sz w:val="18"/>
                <w:szCs w:val="18"/>
              </w:rPr>
            </w:pPr>
          </w:p>
          <w:p w14:paraId="2D17217F" w14:textId="77777777" w:rsidR="00A856F9" w:rsidRPr="00C86259" w:rsidRDefault="00A856F9" w:rsidP="00477C56">
            <w:pPr>
              <w:tabs>
                <w:tab w:val="left" w:pos="851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6B6CDA2E" w14:textId="77777777" w:rsidR="00A856F9" w:rsidRPr="00C86259" w:rsidRDefault="00A856F9" w:rsidP="00B67CCC">
            <w:pPr>
              <w:rPr>
                <w:sz w:val="18"/>
              </w:rPr>
            </w:pPr>
            <w:r w:rsidRPr="00C86259">
              <w:rPr>
                <w:sz w:val="18"/>
              </w:rPr>
              <w:t>John Rogers</w:t>
            </w:r>
          </w:p>
        </w:tc>
        <w:tc>
          <w:tcPr>
            <w:tcW w:w="1275" w:type="dxa"/>
          </w:tcPr>
          <w:p w14:paraId="49FAF6C5" w14:textId="0E81C0EC" w:rsidR="00A856F9" w:rsidRPr="00C86259" w:rsidRDefault="00A856F9" w:rsidP="00C04647">
            <w:pPr>
              <w:rPr>
                <w:sz w:val="18"/>
              </w:rPr>
            </w:pPr>
            <w:r w:rsidRPr="00C86259">
              <w:rPr>
                <w:sz w:val="18"/>
              </w:rPr>
              <w:t>End of 2022</w:t>
            </w:r>
          </w:p>
        </w:tc>
        <w:tc>
          <w:tcPr>
            <w:tcW w:w="3120" w:type="dxa"/>
          </w:tcPr>
          <w:p w14:paraId="3BD9B850" w14:textId="0FCC5281" w:rsidR="00A856F9" w:rsidRPr="00C86259" w:rsidRDefault="00D12A18" w:rsidP="00EF27D5">
            <w:pPr>
              <w:rPr>
                <w:sz w:val="18"/>
              </w:rPr>
            </w:pPr>
            <w:r>
              <w:rPr>
                <w:sz w:val="18"/>
              </w:rPr>
              <w:t>It was previously agreed that this action would be taken forward after</w:t>
            </w:r>
            <w:r w:rsidR="00A856F9" w:rsidRPr="00C86259">
              <w:rPr>
                <w:sz w:val="18"/>
              </w:rPr>
              <w:t xml:space="preserve"> SCREAB and REF ha</w:t>
            </w:r>
            <w:r>
              <w:rPr>
                <w:sz w:val="18"/>
              </w:rPr>
              <w:t>d</w:t>
            </w:r>
            <w:r w:rsidR="00A856F9" w:rsidRPr="00C86259">
              <w:rPr>
                <w:sz w:val="18"/>
              </w:rPr>
              <w:t xml:space="preserve"> been established.</w:t>
            </w:r>
            <w:r>
              <w:rPr>
                <w:sz w:val="18"/>
              </w:rPr>
              <w:t xml:space="preserve">  Now that those have been overtaken by the REAG</w:t>
            </w:r>
            <w:r w:rsidR="007A2FBF">
              <w:rPr>
                <w:sz w:val="18"/>
              </w:rPr>
              <w:t xml:space="preserve">, which can provide advice on a wide range of economic </w:t>
            </w:r>
            <w:r w:rsidR="00453AE0">
              <w:rPr>
                <w:sz w:val="18"/>
              </w:rPr>
              <w:t xml:space="preserve">matters including innovation, the need for a separate Innovation Thematic Board has </w:t>
            </w:r>
            <w:r w:rsidR="00154795">
              <w:rPr>
                <w:sz w:val="18"/>
              </w:rPr>
              <w:t xml:space="preserve">been removed.  It is </w:t>
            </w:r>
            <w:r w:rsidR="00154795" w:rsidRPr="00154795">
              <w:rPr>
                <w:b/>
                <w:bCs/>
                <w:sz w:val="18"/>
                <w:u w:val="single"/>
              </w:rPr>
              <w:t>recommended</w:t>
            </w:r>
            <w:r w:rsidR="00154795">
              <w:rPr>
                <w:sz w:val="18"/>
              </w:rPr>
              <w:t xml:space="preserve"> that this action be closed.</w:t>
            </w:r>
          </w:p>
        </w:tc>
      </w:tr>
      <w:tr w:rsidR="00A856F9" w:rsidRPr="00C86259" w14:paraId="0993E08A" w14:textId="77777777" w:rsidTr="00A856F9">
        <w:tc>
          <w:tcPr>
            <w:tcW w:w="1087" w:type="dxa"/>
          </w:tcPr>
          <w:p w14:paraId="39D9E0D8" w14:textId="77777777" w:rsidR="00A856F9" w:rsidRPr="00C86259" w:rsidRDefault="00A856F9" w:rsidP="008215F9">
            <w:pPr>
              <w:rPr>
                <w:sz w:val="18"/>
              </w:rPr>
            </w:pPr>
            <w:r w:rsidRPr="00C86259">
              <w:rPr>
                <w:sz w:val="18"/>
              </w:rPr>
              <w:t>21</w:t>
            </w:r>
            <w:r w:rsidRPr="00C86259">
              <w:rPr>
                <w:sz w:val="18"/>
                <w:vertAlign w:val="superscript"/>
              </w:rPr>
              <w:t>st</w:t>
            </w:r>
            <w:r w:rsidRPr="00C86259">
              <w:rPr>
                <w:sz w:val="18"/>
              </w:rPr>
              <w:t xml:space="preserve"> July 2021</w:t>
            </w:r>
          </w:p>
        </w:tc>
        <w:tc>
          <w:tcPr>
            <w:tcW w:w="1435" w:type="dxa"/>
          </w:tcPr>
          <w:p w14:paraId="76939382" w14:textId="6CCE7E94" w:rsidR="00A856F9" w:rsidRPr="00C86259" w:rsidRDefault="00A856F9" w:rsidP="00F3728B">
            <w:pPr>
              <w:rPr>
                <w:sz w:val="18"/>
              </w:rPr>
            </w:pPr>
            <w:r w:rsidRPr="00C86259">
              <w:rPr>
                <w:sz w:val="18"/>
              </w:rPr>
              <w:t>MOD Forthside</w:t>
            </w:r>
          </w:p>
        </w:tc>
        <w:tc>
          <w:tcPr>
            <w:tcW w:w="2126" w:type="dxa"/>
          </w:tcPr>
          <w:p w14:paraId="168EE8A7" w14:textId="01180C96" w:rsidR="00A856F9" w:rsidRPr="00C86259" w:rsidRDefault="00A856F9" w:rsidP="009A1C18">
            <w:pPr>
              <w:tabs>
                <w:tab w:val="left" w:pos="851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</w:rPr>
            </w:pPr>
            <w:r w:rsidRPr="00C86259">
              <w:rPr>
                <w:sz w:val="18"/>
              </w:rPr>
              <w:t>Verbal update regarding current status of the Business case and progression through Government process to allow for Land Transfer</w:t>
            </w:r>
          </w:p>
        </w:tc>
        <w:tc>
          <w:tcPr>
            <w:tcW w:w="993" w:type="dxa"/>
          </w:tcPr>
          <w:p w14:paraId="037FFD0D" w14:textId="77777777" w:rsidR="00A856F9" w:rsidRPr="00C86259" w:rsidRDefault="00A856F9" w:rsidP="00D22079">
            <w:pPr>
              <w:rPr>
                <w:sz w:val="18"/>
              </w:rPr>
            </w:pPr>
            <w:r w:rsidRPr="00C86259">
              <w:rPr>
                <w:sz w:val="18"/>
              </w:rPr>
              <w:t>Brian Roberts</w:t>
            </w:r>
          </w:p>
        </w:tc>
        <w:tc>
          <w:tcPr>
            <w:tcW w:w="1275" w:type="dxa"/>
          </w:tcPr>
          <w:p w14:paraId="601B9FE8" w14:textId="39297164" w:rsidR="00A856F9" w:rsidRPr="00C86259" w:rsidRDefault="00A856F9" w:rsidP="00686300">
            <w:pPr>
              <w:rPr>
                <w:sz w:val="18"/>
              </w:rPr>
            </w:pPr>
            <w:r w:rsidRPr="00C86259">
              <w:rPr>
                <w:sz w:val="18"/>
              </w:rPr>
              <w:t>Autumn 2023</w:t>
            </w:r>
          </w:p>
        </w:tc>
        <w:tc>
          <w:tcPr>
            <w:tcW w:w="3120" w:type="dxa"/>
          </w:tcPr>
          <w:p w14:paraId="1ED26C5D" w14:textId="10167506" w:rsidR="00A856F9" w:rsidRPr="00C86259" w:rsidRDefault="009B5649" w:rsidP="00E02E89">
            <w:pPr>
              <w:rPr>
                <w:sz w:val="18"/>
              </w:rPr>
            </w:pPr>
            <w:r>
              <w:rPr>
                <w:sz w:val="18"/>
              </w:rPr>
              <w:t xml:space="preserve">The SOC for the MOD land at </w:t>
            </w:r>
            <w:proofErr w:type="spellStart"/>
            <w:r>
              <w:rPr>
                <w:sz w:val="18"/>
              </w:rPr>
              <w:t>Forthside</w:t>
            </w:r>
            <w:proofErr w:type="spellEnd"/>
            <w:r>
              <w:rPr>
                <w:sz w:val="18"/>
              </w:rPr>
              <w:t xml:space="preserve"> is a substantive action on the </w:t>
            </w:r>
            <w:r w:rsidR="00C125EB">
              <w:rPr>
                <w:sz w:val="18"/>
              </w:rPr>
              <w:t>agenda for the October meeting of Joint Committee</w:t>
            </w:r>
            <w:r w:rsidR="00A856F9" w:rsidRPr="00C86259">
              <w:rPr>
                <w:sz w:val="18"/>
              </w:rPr>
              <w:t>.</w:t>
            </w:r>
            <w:r w:rsidR="00C125EB">
              <w:rPr>
                <w:sz w:val="18"/>
              </w:rPr>
              <w:t xml:space="preserve">  It is </w:t>
            </w:r>
            <w:r w:rsidR="00C125EB" w:rsidRPr="00C125EB">
              <w:rPr>
                <w:b/>
                <w:bCs/>
                <w:sz w:val="18"/>
                <w:u w:val="single"/>
              </w:rPr>
              <w:t>recommended</w:t>
            </w:r>
            <w:r w:rsidR="00C125EB">
              <w:rPr>
                <w:sz w:val="18"/>
              </w:rPr>
              <w:t xml:space="preserve"> that this action be closed.</w:t>
            </w:r>
          </w:p>
        </w:tc>
      </w:tr>
      <w:tr w:rsidR="00A856F9" w:rsidRPr="00C86259" w14:paraId="11E0F821" w14:textId="77777777" w:rsidTr="00A856F9">
        <w:tc>
          <w:tcPr>
            <w:tcW w:w="1087" w:type="dxa"/>
          </w:tcPr>
          <w:p w14:paraId="3B6D579F" w14:textId="77777777" w:rsidR="00A856F9" w:rsidRPr="00C86259" w:rsidRDefault="00A856F9" w:rsidP="008215F9">
            <w:pPr>
              <w:rPr>
                <w:sz w:val="18"/>
              </w:rPr>
            </w:pPr>
            <w:r w:rsidRPr="00C86259">
              <w:rPr>
                <w:sz w:val="18"/>
              </w:rPr>
              <w:t>7</w:t>
            </w:r>
            <w:r w:rsidRPr="00C86259">
              <w:rPr>
                <w:sz w:val="18"/>
                <w:vertAlign w:val="superscript"/>
              </w:rPr>
              <w:t>th</w:t>
            </w:r>
            <w:r w:rsidRPr="00C86259">
              <w:rPr>
                <w:sz w:val="18"/>
              </w:rPr>
              <w:t xml:space="preserve"> September 2021</w:t>
            </w:r>
          </w:p>
        </w:tc>
        <w:tc>
          <w:tcPr>
            <w:tcW w:w="1435" w:type="dxa"/>
          </w:tcPr>
          <w:p w14:paraId="6CC7435A" w14:textId="77777777" w:rsidR="00A856F9" w:rsidRPr="00C86259" w:rsidRDefault="00A856F9" w:rsidP="00F3728B">
            <w:pPr>
              <w:rPr>
                <w:sz w:val="18"/>
              </w:rPr>
            </w:pPr>
            <w:r w:rsidRPr="00C86259">
              <w:rPr>
                <w:sz w:val="18"/>
              </w:rPr>
              <w:t>Update on the Business Case Development Process</w:t>
            </w:r>
          </w:p>
        </w:tc>
        <w:tc>
          <w:tcPr>
            <w:tcW w:w="2126" w:type="dxa"/>
          </w:tcPr>
          <w:p w14:paraId="336FD6AC" w14:textId="77777777" w:rsidR="00A856F9" w:rsidRPr="00C86259" w:rsidRDefault="00A856F9" w:rsidP="008C50FB">
            <w:pPr>
              <w:tabs>
                <w:tab w:val="left" w:pos="851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</w:rPr>
            </w:pPr>
            <w:r w:rsidRPr="00C86259">
              <w:rPr>
                <w:sz w:val="18"/>
              </w:rPr>
              <w:t>To receive regular feedback on issues in the business case journey in order that the appropriate action and intervention may occur.</w:t>
            </w:r>
          </w:p>
        </w:tc>
        <w:tc>
          <w:tcPr>
            <w:tcW w:w="993" w:type="dxa"/>
          </w:tcPr>
          <w:p w14:paraId="648B4B71" w14:textId="77777777" w:rsidR="00A856F9" w:rsidRPr="00C86259" w:rsidRDefault="00A856F9" w:rsidP="00D22079">
            <w:pPr>
              <w:rPr>
                <w:sz w:val="18"/>
              </w:rPr>
            </w:pPr>
            <w:r w:rsidRPr="00C86259">
              <w:rPr>
                <w:sz w:val="18"/>
              </w:rPr>
              <w:t>RPMO</w:t>
            </w:r>
          </w:p>
        </w:tc>
        <w:tc>
          <w:tcPr>
            <w:tcW w:w="1275" w:type="dxa"/>
          </w:tcPr>
          <w:p w14:paraId="4EDA086A" w14:textId="3F7184FC" w:rsidR="00A856F9" w:rsidRPr="00C86259" w:rsidRDefault="00A856F9" w:rsidP="00686300">
            <w:pPr>
              <w:rPr>
                <w:sz w:val="18"/>
              </w:rPr>
            </w:pPr>
            <w:r w:rsidRPr="00C86259">
              <w:rPr>
                <w:sz w:val="18"/>
              </w:rPr>
              <w:t>Ongoing</w:t>
            </w:r>
          </w:p>
        </w:tc>
        <w:tc>
          <w:tcPr>
            <w:tcW w:w="3120" w:type="dxa"/>
          </w:tcPr>
          <w:p w14:paraId="1D81A699" w14:textId="3B63C9AE" w:rsidR="00A856F9" w:rsidRPr="00C86259" w:rsidRDefault="002E614A" w:rsidP="001302EE">
            <w:pPr>
              <w:rPr>
                <w:sz w:val="18"/>
              </w:rPr>
            </w:pPr>
            <w:r>
              <w:rPr>
                <w:sz w:val="18"/>
              </w:rPr>
              <w:t>Regular updates on this issue are presented by the relevant SRO as each business case is progressing</w:t>
            </w:r>
            <w:r w:rsidR="00B203A5">
              <w:rPr>
                <w:sz w:val="18"/>
              </w:rPr>
              <w:t xml:space="preserve">, so it is </w:t>
            </w:r>
            <w:r w:rsidR="00B203A5" w:rsidRPr="00B203A5">
              <w:rPr>
                <w:b/>
                <w:bCs/>
                <w:sz w:val="18"/>
                <w:u w:val="single"/>
              </w:rPr>
              <w:t>recommended</w:t>
            </w:r>
            <w:r w:rsidR="00B203A5">
              <w:rPr>
                <w:sz w:val="18"/>
              </w:rPr>
              <w:t xml:space="preserve"> that this action be closed as a stand alone item.</w:t>
            </w:r>
          </w:p>
        </w:tc>
      </w:tr>
      <w:tr w:rsidR="00A856F9" w:rsidRPr="00A77135" w14:paraId="66E681BD" w14:textId="77777777" w:rsidTr="00A856F9">
        <w:tc>
          <w:tcPr>
            <w:tcW w:w="1087" w:type="dxa"/>
          </w:tcPr>
          <w:p w14:paraId="2A333BC2" w14:textId="6BC664B9" w:rsidR="00A856F9" w:rsidRPr="00C86259" w:rsidRDefault="00A856F9" w:rsidP="008215F9">
            <w:pPr>
              <w:rPr>
                <w:sz w:val="18"/>
              </w:rPr>
            </w:pPr>
            <w:r w:rsidRPr="00C86259">
              <w:rPr>
                <w:sz w:val="18"/>
              </w:rPr>
              <w:t>22</w:t>
            </w:r>
            <w:r w:rsidRPr="00C86259">
              <w:rPr>
                <w:sz w:val="18"/>
                <w:vertAlign w:val="superscript"/>
              </w:rPr>
              <w:t>nd</w:t>
            </w:r>
            <w:r w:rsidRPr="00C86259">
              <w:rPr>
                <w:sz w:val="18"/>
              </w:rPr>
              <w:t xml:space="preserve"> June 2023</w:t>
            </w:r>
          </w:p>
        </w:tc>
        <w:tc>
          <w:tcPr>
            <w:tcW w:w="1435" w:type="dxa"/>
          </w:tcPr>
          <w:p w14:paraId="0A884118" w14:textId="05345411" w:rsidR="00A856F9" w:rsidRPr="00C86259" w:rsidRDefault="00A856F9" w:rsidP="00F3728B">
            <w:pPr>
              <w:rPr>
                <w:sz w:val="18"/>
              </w:rPr>
            </w:pPr>
            <w:r w:rsidRPr="00C86259">
              <w:rPr>
                <w:sz w:val="18"/>
              </w:rPr>
              <w:t xml:space="preserve">Programme Status Report </w:t>
            </w:r>
          </w:p>
        </w:tc>
        <w:tc>
          <w:tcPr>
            <w:tcW w:w="2126" w:type="dxa"/>
          </w:tcPr>
          <w:p w14:paraId="2835F15D" w14:textId="3962A250" w:rsidR="00A856F9" w:rsidRPr="00C86259" w:rsidRDefault="00A856F9" w:rsidP="008C50FB">
            <w:pPr>
              <w:tabs>
                <w:tab w:val="left" w:pos="851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</w:rPr>
            </w:pPr>
            <w:r w:rsidRPr="00C86259">
              <w:rPr>
                <w:sz w:val="18"/>
              </w:rPr>
              <w:t>Recruitment of New Head of RPMO</w:t>
            </w:r>
          </w:p>
        </w:tc>
        <w:tc>
          <w:tcPr>
            <w:tcW w:w="993" w:type="dxa"/>
          </w:tcPr>
          <w:p w14:paraId="387946BD" w14:textId="134FF1CB" w:rsidR="00A856F9" w:rsidRPr="00C86259" w:rsidRDefault="00A856F9" w:rsidP="00D22079">
            <w:pPr>
              <w:rPr>
                <w:sz w:val="18"/>
              </w:rPr>
            </w:pPr>
            <w:r w:rsidRPr="00C86259">
              <w:rPr>
                <w:sz w:val="18"/>
              </w:rPr>
              <w:t>BR</w:t>
            </w:r>
          </w:p>
        </w:tc>
        <w:tc>
          <w:tcPr>
            <w:tcW w:w="1275" w:type="dxa"/>
          </w:tcPr>
          <w:p w14:paraId="1F9BA537" w14:textId="0F295CF4" w:rsidR="00A856F9" w:rsidRPr="00C86259" w:rsidRDefault="00A856F9" w:rsidP="00686300">
            <w:pPr>
              <w:rPr>
                <w:sz w:val="18"/>
              </w:rPr>
            </w:pPr>
            <w:r w:rsidRPr="00C86259">
              <w:rPr>
                <w:sz w:val="18"/>
              </w:rPr>
              <w:t>Complete</w:t>
            </w:r>
          </w:p>
        </w:tc>
        <w:tc>
          <w:tcPr>
            <w:tcW w:w="3120" w:type="dxa"/>
          </w:tcPr>
          <w:p w14:paraId="311DFFAE" w14:textId="0BA805CD" w:rsidR="00A856F9" w:rsidRPr="00C86259" w:rsidRDefault="00A856F9" w:rsidP="001302EE">
            <w:pPr>
              <w:rPr>
                <w:sz w:val="18"/>
              </w:rPr>
            </w:pPr>
            <w:r w:rsidRPr="00C86259">
              <w:rPr>
                <w:sz w:val="18"/>
              </w:rPr>
              <w:t>Recruitment completed and successful candidate starts on 16</w:t>
            </w:r>
            <w:r w:rsidRPr="00C86259">
              <w:rPr>
                <w:sz w:val="18"/>
                <w:vertAlign w:val="superscript"/>
              </w:rPr>
              <w:t>th</w:t>
            </w:r>
            <w:r w:rsidRPr="00C86259">
              <w:rPr>
                <w:sz w:val="18"/>
              </w:rPr>
              <w:t xml:space="preserve"> October 2023.</w:t>
            </w:r>
            <w:r w:rsidR="00F971A1">
              <w:rPr>
                <w:sz w:val="18"/>
              </w:rPr>
              <w:t xml:space="preserve">  It is, accordingly, </w:t>
            </w:r>
            <w:r w:rsidR="00F971A1" w:rsidRPr="00F971A1">
              <w:rPr>
                <w:b/>
                <w:bCs/>
                <w:sz w:val="18"/>
                <w:u w:val="single"/>
              </w:rPr>
              <w:t>recommended</w:t>
            </w:r>
            <w:r w:rsidR="00F971A1">
              <w:rPr>
                <w:sz w:val="18"/>
              </w:rPr>
              <w:t xml:space="preserve"> that this item be closed.</w:t>
            </w:r>
          </w:p>
        </w:tc>
      </w:tr>
    </w:tbl>
    <w:p w14:paraId="7E9BB478" w14:textId="77777777" w:rsidR="00DB62E3" w:rsidRDefault="002A36A2">
      <w:r>
        <w:t xml:space="preserve"> </w:t>
      </w:r>
    </w:p>
    <w:sectPr w:rsidR="00DB62E3" w:rsidSect="000508C7">
      <w:headerReference w:type="default" r:id="rId11"/>
      <w:footerReference w:type="default" r:id="rId12"/>
      <w:pgSz w:w="11906" w:h="16838"/>
      <w:pgMar w:top="1440" w:right="1440" w:bottom="1440" w:left="1440" w:header="567" w:footer="708" w:gutter="0"/>
      <w:pgNumType w:start="1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C32BD5" w14:textId="77777777" w:rsidR="00FE2425" w:rsidRDefault="00FE2425" w:rsidP="00B603C4">
      <w:pPr>
        <w:spacing w:after="0" w:line="240" w:lineRule="auto"/>
      </w:pPr>
      <w:r>
        <w:separator/>
      </w:r>
    </w:p>
  </w:endnote>
  <w:endnote w:type="continuationSeparator" w:id="0">
    <w:p w14:paraId="6BCFC0D9" w14:textId="77777777" w:rsidR="00FE2425" w:rsidRDefault="00FE2425" w:rsidP="00B603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72F35F" w14:textId="77777777" w:rsidR="00DB62E3" w:rsidRDefault="00DB62E3" w:rsidP="00B603C4">
    <w:pPr>
      <w:pStyle w:val="Footer"/>
      <w:jc w:val="center"/>
    </w:pP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AA8F3F3" wp14:editId="0EA36475">
              <wp:simplePos x="0" y="0"/>
              <wp:positionH relativeFrom="column">
                <wp:posOffset>-738505</wp:posOffset>
              </wp:positionH>
              <wp:positionV relativeFrom="paragraph">
                <wp:posOffset>80010</wp:posOffset>
              </wp:positionV>
              <wp:extent cx="3467100" cy="14046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671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156CF9" w14:textId="77777777" w:rsidR="00DB62E3" w:rsidRPr="00B603C4" w:rsidRDefault="00DB62E3">
                          <w:pPr>
                            <w:rPr>
                              <w:sz w:val="20"/>
                            </w:rPr>
                          </w:pPr>
                          <w:r w:rsidRPr="00B603C4">
                            <w:rPr>
                              <w:sz w:val="20"/>
                            </w:rPr>
                            <w:t>Stirling &amp; Clackmannanshire City Region Deal Joint Committee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0AA8F3F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-58.15pt;margin-top:6.3pt;width:273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" stroked="f">
              <v:textbox style="mso-fit-shape-to-text:t">
                <w:txbxContent>
                  <w:p w14:paraId="23156CF9" w14:textId="77777777" w:rsidR="00DB62E3" w:rsidRPr="00B603C4" w:rsidRDefault="00DB62E3">
                    <w:pPr>
                      <w:rPr>
                        <w:sz w:val="20"/>
                      </w:rPr>
                    </w:pPr>
                    <w:r w:rsidRPr="00B603C4">
                      <w:rPr>
                        <w:sz w:val="20"/>
                      </w:rPr>
                      <w:t>Stirling &amp; Clackmannanshire City Region Deal Joint Committee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ab/>
    </w:r>
    <w:r>
      <w:tab/>
    </w:r>
  </w:p>
  <w:p w14:paraId="61EF8669" w14:textId="77777777" w:rsidR="00DB62E3" w:rsidRDefault="00DB62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9D091B" w14:textId="77777777" w:rsidR="00FE2425" w:rsidRDefault="00FE2425" w:rsidP="00B603C4">
      <w:pPr>
        <w:spacing w:after="0" w:line="240" w:lineRule="auto"/>
      </w:pPr>
      <w:r>
        <w:separator/>
      </w:r>
    </w:p>
  </w:footnote>
  <w:footnote w:type="continuationSeparator" w:id="0">
    <w:p w14:paraId="08995890" w14:textId="77777777" w:rsidR="00FE2425" w:rsidRDefault="00FE2425" w:rsidP="00B603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157F51" w14:textId="03FE2759" w:rsidR="00DB62E3" w:rsidRPr="000508C7" w:rsidRDefault="000508C7" w:rsidP="000508C7">
    <w:pPr>
      <w:pStyle w:val="Header"/>
      <w:jc w:val="center"/>
    </w:pPr>
    <w:r>
      <w:rPr>
        <w:noProof/>
        <w:lang w:eastAsia="en-GB"/>
      </w:rPr>
      <w:drawing>
        <wp:inline distT="0" distB="0" distL="0" distR="0" wp14:anchorId="48382274" wp14:editId="2C8E918D">
          <wp:extent cx="3055620" cy="868045"/>
          <wp:effectExtent l="0" t="0" r="0" b="8255"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272" t="27062" r="19531" b="38789"/>
                  <a:stretch/>
                </pic:blipFill>
                <pic:spPr bwMode="auto">
                  <a:xfrm>
                    <a:off x="0" y="0"/>
                    <a:ext cx="3055620" cy="868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C1A37"/>
    <w:multiLevelType w:val="hybridMultilevel"/>
    <w:tmpl w:val="EFAAD7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94050"/>
    <w:multiLevelType w:val="hybridMultilevel"/>
    <w:tmpl w:val="E23A55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885397"/>
    <w:multiLevelType w:val="hybridMultilevel"/>
    <w:tmpl w:val="14EC0028"/>
    <w:lvl w:ilvl="0" w:tplc="8318D00E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9653B8"/>
    <w:multiLevelType w:val="hybridMultilevel"/>
    <w:tmpl w:val="15A2630E"/>
    <w:lvl w:ilvl="0" w:tplc="08090001">
      <w:start w:val="1"/>
      <w:numFmt w:val="bullet"/>
      <w:lvlText w:val=""/>
      <w:lvlJc w:val="left"/>
      <w:pPr>
        <w:ind w:left="215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7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9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1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3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5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7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9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19" w:hanging="360"/>
      </w:pPr>
      <w:rPr>
        <w:rFonts w:ascii="Wingdings" w:hAnsi="Wingdings" w:hint="default"/>
      </w:rPr>
    </w:lvl>
  </w:abstractNum>
  <w:abstractNum w:abstractNumId="4" w15:restartNumberingAfterBreak="0">
    <w:nsid w:val="2CD77B82"/>
    <w:multiLevelType w:val="hybridMultilevel"/>
    <w:tmpl w:val="1E4E1E4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E1213B7"/>
    <w:multiLevelType w:val="hybridMultilevel"/>
    <w:tmpl w:val="45B23492"/>
    <w:lvl w:ilvl="0" w:tplc="2976FA42">
      <w:start w:val="1"/>
      <w:numFmt w:val="decimal"/>
      <w:lvlText w:val="%1."/>
      <w:lvlJc w:val="left"/>
      <w:pPr>
        <w:ind w:left="1439" w:hanging="588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37F6176A"/>
    <w:multiLevelType w:val="hybridMultilevel"/>
    <w:tmpl w:val="DC4C0D5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B503233"/>
    <w:multiLevelType w:val="hybridMultilevel"/>
    <w:tmpl w:val="EF3C55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884CC1"/>
    <w:multiLevelType w:val="hybridMultilevel"/>
    <w:tmpl w:val="9B8E1F6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8144845"/>
    <w:multiLevelType w:val="hybridMultilevel"/>
    <w:tmpl w:val="5FA221A6"/>
    <w:lvl w:ilvl="0" w:tplc="3236CC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741382"/>
    <w:multiLevelType w:val="hybridMultilevel"/>
    <w:tmpl w:val="42AAF9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9F4A5F"/>
    <w:multiLevelType w:val="hybridMultilevel"/>
    <w:tmpl w:val="45B23492"/>
    <w:lvl w:ilvl="0" w:tplc="2976FA42">
      <w:start w:val="1"/>
      <w:numFmt w:val="decimal"/>
      <w:lvlText w:val="%1."/>
      <w:lvlJc w:val="left"/>
      <w:pPr>
        <w:ind w:left="1439" w:hanging="588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61566798"/>
    <w:multiLevelType w:val="hybridMultilevel"/>
    <w:tmpl w:val="3B2C6F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2D36B1"/>
    <w:multiLevelType w:val="hybridMultilevel"/>
    <w:tmpl w:val="A0F0BC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3"/>
  </w:num>
  <w:num w:numId="4">
    <w:abstractNumId w:val="0"/>
  </w:num>
  <w:num w:numId="5">
    <w:abstractNumId w:val="7"/>
  </w:num>
  <w:num w:numId="6">
    <w:abstractNumId w:val="12"/>
  </w:num>
  <w:num w:numId="7">
    <w:abstractNumId w:val="1"/>
  </w:num>
  <w:num w:numId="8">
    <w:abstractNumId w:val="10"/>
  </w:num>
  <w:num w:numId="9">
    <w:abstractNumId w:val="13"/>
  </w:num>
  <w:num w:numId="10">
    <w:abstractNumId w:val="6"/>
  </w:num>
  <w:num w:numId="11">
    <w:abstractNumId w:val="4"/>
  </w:num>
  <w:num w:numId="12">
    <w:abstractNumId w:val="8"/>
  </w:num>
  <w:num w:numId="13">
    <w:abstractNumId w:val="9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3C4"/>
    <w:rsid w:val="000264F6"/>
    <w:rsid w:val="00030FE0"/>
    <w:rsid w:val="000347F8"/>
    <w:rsid w:val="000508C7"/>
    <w:rsid w:val="000A6B43"/>
    <w:rsid w:val="000B0AE4"/>
    <w:rsid w:val="000C2B1B"/>
    <w:rsid w:val="000D2205"/>
    <w:rsid w:val="000D30D6"/>
    <w:rsid w:val="000E0CB7"/>
    <w:rsid w:val="000E504A"/>
    <w:rsid w:val="001135AA"/>
    <w:rsid w:val="001302EE"/>
    <w:rsid w:val="001338D9"/>
    <w:rsid w:val="001352F8"/>
    <w:rsid w:val="00150FEA"/>
    <w:rsid w:val="00151660"/>
    <w:rsid w:val="00154795"/>
    <w:rsid w:val="00155DEB"/>
    <w:rsid w:val="0015742F"/>
    <w:rsid w:val="00160CB9"/>
    <w:rsid w:val="00175928"/>
    <w:rsid w:val="001875B1"/>
    <w:rsid w:val="0019311D"/>
    <w:rsid w:val="001962AE"/>
    <w:rsid w:val="001A48F1"/>
    <w:rsid w:val="001B1877"/>
    <w:rsid w:val="001F75EC"/>
    <w:rsid w:val="00214AF5"/>
    <w:rsid w:val="00215F70"/>
    <w:rsid w:val="0022271B"/>
    <w:rsid w:val="002373EC"/>
    <w:rsid w:val="00243220"/>
    <w:rsid w:val="002438F7"/>
    <w:rsid w:val="00253116"/>
    <w:rsid w:val="00277497"/>
    <w:rsid w:val="0028715B"/>
    <w:rsid w:val="002962AF"/>
    <w:rsid w:val="002A36A2"/>
    <w:rsid w:val="002C6844"/>
    <w:rsid w:val="002E2E04"/>
    <w:rsid w:val="002E614A"/>
    <w:rsid w:val="00337D17"/>
    <w:rsid w:val="0034191C"/>
    <w:rsid w:val="0035122F"/>
    <w:rsid w:val="00363D1F"/>
    <w:rsid w:val="003709A6"/>
    <w:rsid w:val="003760D7"/>
    <w:rsid w:val="003827F7"/>
    <w:rsid w:val="003A1C40"/>
    <w:rsid w:val="003A5DD3"/>
    <w:rsid w:val="003B1E9C"/>
    <w:rsid w:val="003C0355"/>
    <w:rsid w:val="0040368B"/>
    <w:rsid w:val="004322C8"/>
    <w:rsid w:val="00453AE0"/>
    <w:rsid w:val="00477C56"/>
    <w:rsid w:val="00484A43"/>
    <w:rsid w:val="004966C0"/>
    <w:rsid w:val="004A2ABE"/>
    <w:rsid w:val="004C3818"/>
    <w:rsid w:val="004C5F32"/>
    <w:rsid w:val="004D6739"/>
    <w:rsid w:val="004E090D"/>
    <w:rsid w:val="004F53F0"/>
    <w:rsid w:val="0050435E"/>
    <w:rsid w:val="00540B19"/>
    <w:rsid w:val="00545166"/>
    <w:rsid w:val="00545BD1"/>
    <w:rsid w:val="00564938"/>
    <w:rsid w:val="00571BC2"/>
    <w:rsid w:val="0057713C"/>
    <w:rsid w:val="00582586"/>
    <w:rsid w:val="0059068A"/>
    <w:rsid w:val="00594FE1"/>
    <w:rsid w:val="005B33CA"/>
    <w:rsid w:val="005C2BEA"/>
    <w:rsid w:val="005D17BC"/>
    <w:rsid w:val="006053E3"/>
    <w:rsid w:val="00611320"/>
    <w:rsid w:val="00616210"/>
    <w:rsid w:val="00623607"/>
    <w:rsid w:val="0063568D"/>
    <w:rsid w:val="0064266C"/>
    <w:rsid w:val="00643A5C"/>
    <w:rsid w:val="006554C4"/>
    <w:rsid w:val="00655AA0"/>
    <w:rsid w:val="006566DD"/>
    <w:rsid w:val="00657CA7"/>
    <w:rsid w:val="00665C68"/>
    <w:rsid w:val="00686300"/>
    <w:rsid w:val="006B4CBC"/>
    <w:rsid w:val="006C6F3D"/>
    <w:rsid w:val="006D3A9F"/>
    <w:rsid w:val="006F7A17"/>
    <w:rsid w:val="00710FD7"/>
    <w:rsid w:val="00713D89"/>
    <w:rsid w:val="007169E8"/>
    <w:rsid w:val="0072313B"/>
    <w:rsid w:val="0072331D"/>
    <w:rsid w:val="007262D8"/>
    <w:rsid w:val="00727E5D"/>
    <w:rsid w:val="00770FD9"/>
    <w:rsid w:val="00781E29"/>
    <w:rsid w:val="00792165"/>
    <w:rsid w:val="0079253A"/>
    <w:rsid w:val="00793EEE"/>
    <w:rsid w:val="007A2FBF"/>
    <w:rsid w:val="007A6F7D"/>
    <w:rsid w:val="007B355D"/>
    <w:rsid w:val="007D7501"/>
    <w:rsid w:val="007E5006"/>
    <w:rsid w:val="007E70D6"/>
    <w:rsid w:val="008215F9"/>
    <w:rsid w:val="00824251"/>
    <w:rsid w:val="00832CEB"/>
    <w:rsid w:val="0083671D"/>
    <w:rsid w:val="00851E13"/>
    <w:rsid w:val="008574CC"/>
    <w:rsid w:val="00863B32"/>
    <w:rsid w:val="0087625F"/>
    <w:rsid w:val="008777A8"/>
    <w:rsid w:val="008B591E"/>
    <w:rsid w:val="008C09F0"/>
    <w:rsid w:val="008C50FB"/>
    <w:rsid w:val="008D64A5"/>
    <w:rsid w:val="008E4C6A"/>
    <w:rsid w:val="008F0E35"/>
    <w:rsid w:val="008F47B5"/>
    <w:rsid w:val="0090164E"/>
    <w:rsid w:val="009043BB"/>
    <w:rsid w:val="0092621E"/>
    <w:rsid w:val="0094388A"/>
    <w:rsid w:val="00950FFC"/>
    <w:rsid w:val="0095395D"/>
    <w:rsid w:val="009566B7"/>
    <w:rsid w:val="00967525"/>
    <w:rsid w:val="0097615D"/>
    <w:rsid w:val="00980501"/>
    <w:rsid w:val="00993946"/>
    <w:rsid w:val="00995245"/>
    <w:rsid w:val="0099611C"/>
    <w:rsid w:val="009A055C"/>
    <w:rsid w:val="009A1C18"/>
    <w:rsid w:val="009B5649"/>
    <w:rsid w:val="009E0279"/>
    <w:rsid w:val="009F4EE8"/>
    <w:rsid w:val="00A3487F"/>
    <w:rsid w:val="00A77135"/>
    <w:rsid w:val="00A856F9"/>
    <w:rsid w:val="00AB3B6E"/>
    <w:rsid w:val="00AB6488"/>
    <w:rsid w:val="00AC1550"/>
    <w:rsid w:val="00AE1C7C"/>
    <w:rsid w:val="00B15C68"/>
    <w:rsid w:val="00B16677"/>
    <w:rsid w:val="00B203A5"/>
    <w:rsid w:val="00B23831"/>
    <w:rsid w:val="00B41352"/>
    <w:rsid w:val="00B4771F"/>
    <w:rsid w:val="00B51C23"/>
    <w:rsid w:val="00B56E58"/>
    <w:rsid w:val="00B603C4"/>
    <w:rsid w:val="00B67CCC"/>
    <w:rsid w:val="00BB2E0A"/>
    <w:rsid w:val="00BB5465"/>
    <w:rsid w:val="00BC498B"/>
    <w:rsid w:val="00BC57FC"/>
    <w:rsid w:val="00BE5EAD"/>
    <w:rsid w:val="00BF4C9F"/>
    <w:rsid w:val="00BF5868"/>
    <w:rsid w:val="00BF5AA8"/>
    <w:rsid w:val="00BF5EEE"/>
    <w:rsid w:val="00C04647"/>
    <w:rsid w:val="00C060E2"/>
    <w:rsid w:val="00C06295"/>
    <w:rsid w:val="00C073BC"/>
    <w:rsid w:val="00C125EB"/>
    <w:rsid w:val="00C74F00"/>
    <w:rsid w:val="00C86259"/>
    <w:rsid w:val="00C87153"/>
    <w:rsid w:val="00C9224C"/>
    <w:rsid w:val="00CB09D2"/>
    <w:rsid w:val="00CB54B2"/>
    <w:rsid w:val="00CB54E2"/>
    <w:rsid w:val="00CB5830"/>
    <w:rsid w:val="00CB7D1F"/>
    <w:rsid w:val="00CD15F9"/>
    <w:rsid w:val="00CD78B1"/>
    <w:rsid w:val="00CF348D"/>
    <w:rsid w:val="00CF5D26"/>
    <w:rsid w:val="00D12A18"/>
    <w:rsid w:val="00D17273"/>
    <w:rsid w:val="00D22079"/>
    <w:rsid w:val="00D40F78"/>
    <w:rsid w:val="00D45D6D"/>
    <w:rsid w:val="00D55850"/>
    <w:rsid w:val="00D64E51"/>
    <w:rsid w:val="00D7410A"/>
    <w:rsid w:val="00D74A8B"/>
    <w:rsid w:val="00D76BFA"/>
    <w:rsid w:val="00D9541F"/>
    <w:rsid w:val="00D97634"/>
    <w:rsid w:val="00DB62E3"/>
    <w:rsid w:val="00DD0ED3"/>
    <w:rsid w:val="00DE06DE"/>
    <w:rsid w:val="00DE72E8"/>
    <w:rsid w:val="00DF4797"/>
    <w:rsid w:val="00DF50F0"/>
    <w:rsid w:val="00DF5872"/>
    <w:rsid w:val="00E02E89"/>
    <w:rsid w:val="00E156B1"/>
    <w:rsid w:val="00E47841"/>
    <w:rsid w:val="00E6473F"/>
    <w:rsid w:val="00E7585A"/>
    <w:rsid w:val="00E81D3D"/>
    <w:rsid w:val="00E95E47"/>
    <w:rsid w:val="00EB4909"/>
    <w:rsid w:val="00EF27D5"/>
    <w:rsid w:val="00F11C8A"/>
    <w:rsid w:val="00F3176F"/>
    <w:rsid w:val="00F3728B"/>
    <w:rsid w:val="00F63B9F"/>
    <w:rsid w:val="00F63D1B"/>
    <w:rsid w:val="00F971A1"/>
    <w:rsid w:val="00FB3906"/>
    <w:rsid w:val="00FB3BC1"/>
    <w:rsid w:val="00FB4F79"/>
    <w:rsid w:val="00FC2704"/>
    <w:rsid w:val="00FC70B2"/>
    <w:rsid w:val="00FD093D"/>
    <w:rsid w:val="00FD7483"/>
    <w:rsid w:val="00FD7826"/>
    <w:rsid w:val="00FE2425"/>
    <w:rsid w:val="00FE6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1C5891E7"/>
  <w15:docId w15:val="{69B0EBEC-AB15-42AE-871C-63780DD8F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03C4"/>
    <w:pPr>
      <w:spacing w:line="256" w:lineRule="auto"/>
    </w:pPr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5F3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5F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74F0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3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3C4"/>
  </w:style>
  <w:style w:type="paragraph" w:styleId="Footer">
    <w:name w:val="footer"/>
    <w:basedOn w:val="Normal"/>
    <w:link w:val="FooterChar"/>
    <w:uiPriority w:val="99"/>
    <w:unhideWhenUsed/>
    <w:rsid w:val="00B603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3C4"/>
  </w:style>
  <w:style w:type="character" w:customStyle="1" w:styleId="Heading1Char">
    <w:name w:val="Heading 1 Char"/>
    <w:basedOn w:val="DefaultParagraphFont"/>
    <w:link w:val="Heading1"/>
    <w:uiPriority w:val="9"/>
    <w:rsid w:val="004C5F3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C5F3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74F0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TableGrid">
    <w:name w:val="Table Grid"/>
    <w:basedOn w:val="TableNormal"/>
    <w:uiPriority w:val="39"/>
    <w:rsid w:val="00C74F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B33C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97634"/>
    <w:pPr>
      <w:spacing w:after="0" w:line="240" w:lineRule="auto"/>
      <w:ind w:left="720"/>
      <w:jc w:val="both"/>
    </w:pPr>
    <w:rPr>
      <w:rFonts w:ascii="Arial" w:eastAsia="Times New Roman" w:hAnsi="Arial" w:cs="Times New Roman"/>
      <w:szCs w:val="24"/>
    </w:rPr>
  </w:style>
  <w:style w:type="paragraph" w:customStyle="1" w:styleId="Default">
    <w:name w:val="Default"/>
    <w:rsid w:val="004C381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2E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2E04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F6F0C5246B9D4D962B54B8C79D0DED" ma:contentTypeVersion="13" ma:contentTypeDescription="Create a new document." ma:contentTypeScope="" ma:versionID="c896c579c567774d459646a8e6982175">
  <xsd:schema xmlns:xsd="http://www.w3.org/2001/XMLSchema" xmlns:xs="http://www.w3.org/2001/XMLSchema" xmlns:p="http://schemas.microsoft.com/office/2006/metadata/properties" xmlns:ns3="eb775486-5efd-477c-8460-66b83cbfc0b9" xmlns:ns4="957cc6f3-b52b-4170-a332-5e6f75c4a6e3" targetNamespace="http://schemas.microsoft.com/office/2006/metadata/properties" ma:root="true" ma:fieldsID="e161cd232afeb5d9aedd22d59fe88d3a" ns3:_="" ns4:_="">
    <xsd:import namespace="eb775486-5efd-477c-8460-66b83cbfc0b9"/>
    <xsd:import namespace="957cc6f3-b52b-4170-a332-5e6f75c4a6e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775486-5efd-477c-8460-66b83cbfc0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7cc6f3-b52b-4170-a332-5e6f75c4a6e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35D17C-5B6C-40A8-B266-C4F0CA8F91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DB7A2C-72D1-46B9-A352-076DF381E0D3}">
  <ds:schemaRefs>
    <ds:schemaRef ds:uri="eb775486-5efd-477c-8460-66b83cbfc0b9"/>
    <ds:schemaRef ds:uri="http://purl.org/dc/terms/"/>
    <ds:schemaRef ds:uri="957cc6f3-b52b-4170-a332-5e6f75c4a6e3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3C45AF5-5FA6-46B7-A85E-480BB594BA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775486-5efd-477c-8460-66b83cbfc0b9"/>
    <ds:schemaRef ds:uri="957cc6f3-b52b-4170-a332-5e6f75c4a6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CCA00FE-DE52-43E3-A9CB-6473EC0EB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247</Words>
  <Characters>1413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Item 5.1 Joint Committee Action Log 11-05-21</vt:lpstr>
    </vt:vector>
  </TitlesOfParts>
  <Company>University Of Stirling</Company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Item 5.1 Joint Committee Action Log 11-05-21</dc:title>
  <dc:subject>Item 5.1 Joint Committee Action Log 11-05-21</dc:subject>
  <dc:creator>Clackmannanshire Council</dc:creator>
  <cp:keywords>Item 5.1 Joint Committee Action Log 11-05-21</cp:keywords>
  <cp:lastModifiedBy>Betty Brown</cp:lastModifiedBy>
  <cp:revision>2</cp:revision>
  <cp:lastPrinted>2021-09-24T07:19:00Z</cp:lastPrinted>
  <dcterms:created xsi:type="dcterms:W3CDTF">2023-10-11T08:42:00Z</dcterms:created>
  <dcterms:modified xsi:type="dcterms:W3CDTF">2023-10-11T08:42:00Z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0x0101006EF6F0C5246B9D4D962B54B8C79D0DED</vt:lpwstr>
  </property>
</Properties>
</file>